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853E8" w14:textId="031CDE17" w:rsidR="00FD1C01" w:rsidRPr="0010037B" w:rsidRDefault="002812BE" w:rsidP="002812BE">
      <w:pPr>
        <w:pStyle w:val="AD"/>
        <w:spacing w:line="276" w:lineRule="auto"/>
        <w:jc w:val="center"/>
        <w:rPr>
          <w:b/>
          <w:bCs/>
          <w:color w:val="E36C0A"/>
          <w:sz w:val="32"/>
          <w:szCs w:val="32"/>
          <w14:ligatures w14:val="none"/>
        </w:rPr>
      </w:pPr>
      <w:r w:rsidRPr="002812BE">
        <w:rPr>
          <w:rFonts w:hint="eastAsia"/>
          <w:b/>
          <w:bCs/>
          <w:color w:val="E36C0A"/>
          <w:sz w:val="32"/>
          <w:szCs w:val="32"/>
          <w14:ligatures w14:val="none"/>
        </w:rPr>
        <w:t>印发《关于规范办理民事再审检察建议案件若干问题的意见》的通知</w:t>
      </w:r>
    </w:p>
    <w:p w14:paraId="2586BCD6" w14:textId="77777777" w:rsidR="002812BE" w:rsidRDefault="002812BE" w:rsidP="002812BE">
      <w:pPr>
        <w:pStyle w:val="AD"/>
        <w:spacing w:line="276" w:lineRule="auto"/>
        <w:jc w:val="center"/>
      </w:pPr>
      <w:r w:rsidRPr="002812BE">
        <w:rPr>
          <w:rFonts w:hint="eastAsia"/>
        </w:rPr>
        <w:t>法发〔</w:t>
      </w:r>
      <w:r w:rsidRPr="002812BE">
        <w:rPr>
          <w:rFonts w:hint="eastAsia"/>
        </w:rPr>
        <w:t>2023</w:t>
      </w:r>
      <w:r w:rsidRPr="002812BE">
        <w:rPr>
          <w:rFonts w:hint="eastAsia"/>
        </w:rPr>
        <w:t>〕</w:t>
      </w:r>
      <w:r w:rsidRPr="002812BE">
        <w:rPr>
          <w:rFonts w:hint="eastAsia"/>
        </w:rPr>
        <w:t>18</w:t>
      </w:r>
      <w:r w:rsidRPr="002812BE">
        <w:rPr>
          <w:rFonts w:hint="eastAsia"/>
        </w:rPr>
        <w:t>号</w:t>
      </w:r>
    </w:p>
    <w:p w14:paraId="54ECDA57" w14:textId="77777777" w:rsidR="002812BE" w:rsidRPr="008343B1" w:rsidRDefault="002812BE" w:rsidP="008343B1">
      <w:pPr>
        <w:pStyle w:val="AD"/>
        <w:spacing w:line="276" w:lineRule="auto"/>
      </w:pPr>
    </w:p>
    <w:p w14:paraId="75568450" w14:textId="1D812CE6" w:rsidR="002812BE" w:rsidRDefault="002812BE" w:rsidP="002812BE">
      <w:pPr>
        <w:pStyle w:val="AD"/>
        <w:spacing w:line="276" w:lineRule="auto"/>
      </w:pPr>
      <w:r>
        <w:rPr>
          <w:rFonts w:hint="eastAsia"/>
        </w:rPr>
        <w:t>各省、自治区、直辖市高级人民法院、人民检察院，解放军军事法院、军事检察院，新疆维吾尔自治区高级人民法院生产建设兵团分院、新疆生产建设兵团人民检察院：</w:t>
      </w:r>
    </w:p>
    <w:p w14:paraId="5B290528" w14:textId="77777777" w:rsidR="002812BE" w:rsidRDefault="002812BE" w:rsidP="002812BE">
      <w:pPr>
        <w:pStyle w:val="AD"/>
        <w:spacing w:line="276" w:lineRule="auto"/>
      </w:pPr>
    </w:p>
    <w:p w14:paraId="131EF5D7" w14:textId="77777777" w:rsidR="002812BE" w:rsidRDefault="002812BE" w:rsidP="002812BE">
      <w:pPr>
        <w:pStyle w:val="AD"/>
        <w:spacing w:line="276" w:lineRule="auto"/>
      </w:pPr>
      <w:r>
        <w:rPr>
          <w:rFonts w:hint="eastAsia"/>
        </w:rPr>
        <w:t xml:space="preserve">　　为规范人民法院、人民检察院办理民事再审检察建议案件程序，推进落实《中共中央关于加强新时代检察机关法律监督工作的意见》，提升法律监督质效和司法公信力，促进司法公正，根据《中华人民共和国民事诉讼法》和相关法律规定，最高人民法院、最高人民检察院制定了《关于规范办理民事再审检察建议案件若干问题的意见》，现予印发，请结合实际贯彻执行。在执行中遇到的问题，请分别层报最高人民法院、最高人民检察院。</w:t>
      </w:r>
    </w:p>
    <w:p w14:paraId="5844C101" w14:textId="77777777" w:rsidR="002812BE" w:rsidRDefault="002812BE" w:rsidP="002812BE">
      <w:pPr>
        <w:pStyle w:val="AD"/>
        <w:spacing w:line="276" w:lineRule="auto"/>
      </w:pPr>
    </w:p>
    <w:p w14:paraId="36802E4C" w14:textId="60AD290A" w:rsidR="002812BE" w:rsidRDefault="002812BE" w:rsidP="002812BE">
      <w:pPr>
        <w:pStyle w:val="AD"/>
        <w:spacing w:line="276" w:lineRule="auto"/>
        <w:jc w:val="right"/>
      </w:pPr>
      <w:r>
        <w:rPr>
          <w:rFonts w:hint="eastAsia"/>
        </w:rPr>
        <w:t xml:space="preserve">　　最高人民法院</w:t>
      </w:r>
      <w:r>
        <w:rPr>
          <w:rFonts w:hint="eastAsia"/>
        </w:rPr>
        <w:t xml:space="preserve">  </w:t>
      </w:r>
      <w:r>
        <w:rPr>
          <w:rFonts w:hint="eastAsia"/>
        </w:rPr>
        <w:t>最高人民检察院</w:t>
      </w:r>
    </w:p>
    <w:p w14:paraId="11466074" w14:textId="6E7CF4B8" w:rsidR="002812BE" w:rsidRDefault="002812BE" w:rsidP="002812BE">
      <w:pPr>
        <w:pStyle w:val="AD"/>
        <w:spacing w:line="276" w:lineRule="auto"/>
        <w:jc w:val="right"/>
      </w:pPr>
      <w:r>
        <w:rPr>
          <w:rFonts w:hint="eastAsia"/>
        </w:rPr>
        <w:t xml:space="preserve">　　</w:t>
      </w:r>
      <w:r>
        <w:rPr>
          <w:rFonts w:hint="eastAsia"/>
        </w:rPr>
        <w:t>2023</w:t>
      </w:r>
      <w:r>
        <w:rPr>
          <w:rFonts w:hint="eastAsia"/>
        </w:rPr>
        <w:t>年</w:t>
      </w:r>
      <w:r>
        <w:rPr>
          <w:rFonts w:hint="eastAsia"/>
        </w:rPr>
        <w:t>11</w:t>
      </w:r>
      <w:r>
        <w:rPr>
          <w:rFonts w:hint="eastAsia"/>
        </w:rPr>
        <w:t>月</w:t>
      </w:r>
      <w:r>
        <w:rPr>
          <w:rFonts w:hint="eastAsia"/>
        </w:rPr>
        <w:t>24</w:t>
      </w:r>
      <w:r>
        <w:rPr>
          <w:rFonts w:hint="eastAsia"/>
        </w:rPr>
        <w:t>日</w:t>
      </w:r>
    </w:p>
    <w:p w14:paraId="6991396D" w14:textId="77777777" w:rsidR="002812BE" w:rsidRDefault="002812BE" w:rsidP="008343B1">
      <w:pPr>
        <w:pStyle w:val="AD"/>
        <w:spacing w:line="276" w:lineRule="auto"/>
      </w:pPr>
    </w:p>
    <w:p w14:paraId="6C30DE52" w14:textId="77777777" w:rsidR="002812BE" w:rsidRDefault="002812BE" w:rsidP="008343B1">
      <w:pPr>
        <w:pStyle w:val="AD"/>
        <w:spacing w:line="276" w:lineRule="auto"/>
      </w:pPr>
    </w:p>
    <w:p w14:paraId="5A9421EF" w14:textId="5CD9922A" w:rsidR="002812BE" w:rsidRPr="002812BE" w:rsidRDefault="002812BE" w:rsidP="002812BE">
      <w:pPr>
        <w:pStyle w:val="AD"/>
        <w:spacing w:line="276" w:lineRule="auto"/>
        <w:jc w:val="center"/>
        <w:rPr>
          <w:b/>
          <w:bCs/>
          <w:color w:val="E36C0A"/>
          <w:sz w:val="28"/>
          <w:szCs w:val="28"/>
          <w14:ligatures w14:val="none"/>
        </w:rPr>
      </w:pPr>
      <w:r w:rsidRPr="002812BE">
        <w:rPr>
          <w:rFonts w:hint="eastAsia"/>
          <w:b/>
          <w:bCs/>
          <w:color w:val="E36C0A"/>
          <w:sz w:val="28"/>
          <w:szCs w:val="28"/>
          <w14:ligatures w14:val="none"/>
        </w:rPr>
        <w:t>关于规范办理民事再审检察建议案件若干问题的意见</w:t>
      </w:r>
    </w:p>
    <w:p w14:paraId="3F6B34E2" w14:textId="77777777" w:rsidR="002812BE" w:rsidRDefault="002812BE" w:rsidP="001107C2">
      <w:pPr>
        <w:pStyle w:val="AD"/>
        <w:spacing w:line="276" w:lineRule="auto"/>
      </w:pPr>
    </w:p>
    <w:p w14:paraId="6AC7DB86" w14:textId="71EF7D30" w:rsidR="00FD1C01" w:rsidRPr="00FD1C01" w:rsidRDefault="008343B1" w:rsidP="0010037B">
      <w:pPr>
        <w:pStyle w:val="AD"/>
        <w:spacing w:line="276" w:lineRule="auto"/>
      </w:pPr>
      <w:r>
        <w:rPr>
          <w:rFonts w:hint="eastAsia"/>
        </w:rPr>
        <w:t xml:space="preserve">　　</w:t>
      </w:r>
      <w:r w:rsidR="00FD1C01" w:rsidRPr="00FD1C01">
        <w:rPr>
          <w:rFonts w:hint="eastAsia"/>
        </w:rPr>
        <w:t>为规范人民法院、人民检察院办理民事再审检察建议案件程序，推进落实《中共中央关于加强新时代检察机关法律监督工作的意见》，提升法律监督质效和司法公信力，促进司法公正，根据《中华人民共和国民事诉讼法》等法律规定，结合司法实践，制定本意见。</w:t>
      </w:r>
    </w:p>
    <w:p w14:paraId="36A81E1F" w14:textId="77777777" w:rsidR="0093384C" w:rsidRDefault="0093384C" w:rsidP="0010037B">
      <w:pPr>
        <w:pStyle w:val="AD"/>
        <w:spacing w:line="276" w:lineRule="auto"/>
      </w:pPr>
    </w:p>
    <w:p w14:paraId="103D8145" w14:textId="228EEF0A" w:rsidR="00FD1C01" w:rsidRPr="00FD1C01" w:rsidRDefault="008343B1" w:rsidP="0010037B">
      <w:pPr>
        <w:pStyle w:val="AD"/>
        <w:spacing w:line="276" w:lineRule="auto"/>
      </w:pPr>
      <w:r>
        <w:rPr>
          <w:rFonts w:hint="eastAsia"/>
        </w:rPr>
        <w:t xml:space="preserve">　　</w:t>
      </w:r>
      <w:r w:rsidR="00FD1C01" w:rsidRPr="00FD1C01">
        <w:rPr>
          <w:rFonts w:hint="eastAsia"/>
        </w:rPr>
        <w:t>第一条</w:t>
      </w:r>
      <w:r w:rsidR="00BD6686">
        <w:rPr>
          <w:rFonts w:hint="eastAsia"/>
        </w:rPr>
        <w:t xml:space="preserve"> </w:t>
      </w:r>
      <w:r w:rsidR="00FD1C01" w:rsidRPr="00FD1C01">
        <w:rPr>
          <w:rFonts w:hint="eastAsia"/>
        </w:rPr>
        <w:t>民事再审检察建议是人民检察院对生效民事判决、裁定、调解书实施法律监督的重要方式。人民法院、人民检察院应当严格按照《中华人民共和国民事诉讼法》有关再审检察建议的规定，依法规范履行审判和法律监督职责。人民检察院要坚持法定性与必要性相结合的监督标准，增强监督的及时性与实效性，规范适用再审检察建议；人民法院要坚持依法接受监督，增强接受监督的主动性与自觉性，及时办理民事再审检察建议案件，共同维护司法公正。</w:t>
      </w:r>
    </w:p>
    <w:p w14:paraId="442E3141" w14:textId="77777777" w:rsidR="0093384C" w:rsidRDefault="0093384C" w:rsidP="0010037B">
      <w:pPr>
        <w:pStyle w:val="AD"/>
        <w:spacing w:line="276" w:lineRule="auto"/>
      </w:pPr>
    </w:p>
    <w:p w14:paraId="2294E299" w14:textId="3273DDE3" w:rsidR="00FD1C01" w:rsidRPr="00FD1C01" w:rsidRDefault="008343B1" w:rsidP="0010037B">
      <w:pPr>
        <w:pStyle w:val="AD"/>
        <w:spacing w:line="276" w:lineRule="auto"/>
      </w:pPr>
      <w:r>
        <w:rPr>
          <w:rFonts w:hint="eastAsia"/>
        </w:rPr>
        <w:t xml:space="preserve">　　</w:t>
      </w:r>
      <w:r w:rsidR="00FD1C01" w:rsidRPr="00FD1C01">
        <w:rPr>
          <w:rFonts w:hint="eastAsia"/>
        </w:rPr>
        <w:t>第二条</w:t>
      </w:r>
      <w:r w:rsidR="00BD6686">
        <w:rPr>
          <w:rFonts w:hint="eastAsia"/>
        </w:rPr>
        <w:t xml:space="preserve"> </w:t>
      </w:r>
      <w:r w:rsidR="00FD1C01" w:rsidRPr="00FD1C01">
        <w:rPr>
          <w:rFonts w:hint="eastAsia"/>
        </w:rPr>
        <w:t>人民检察院发现同级人民法院生效民事判决、裁定有《中华人民共和国民事诉讼法》第二百零七条规定情形之一的，或者民事调解书有损害国家利益、社会公共利益情形的，可以向同级人民法院提出再审检察建议；地方各级人民检察院提出再审检察建议的，应报上级人民检察院备案。</w:t>
      </w:r>
    </w:p>
    <w:p w14:paraId="44C5D9B4" w14:textId="15D7CBF4" w:rsidR="00FD1C01" w:rsidRPr="00FD1C01" w:rsidRDefault="008343B1" w:rsidP="0010037B">
      <w:pPr>
        <w:pStyle w:val="AD"/>
        <w:spacing w:line="276" w:lineRule="auto"/>
      </w:pPr>
      <w:r>
        <w:rPr>
          <w:rFonts w:hint="eastAsia"/>
        </w:rPr>
        <w:t xml:space="preserve">　　</w:t>
      </w:r>
      <w:r w:rsidR="00FD1C01" w:rsidRPr="00FD1C01">
        <w:rPr>
          <w:rFonts w:hint="eastAsia"/>
        </w:rPr>
        <w:t>人民检察院发现生效民事判决、裁定、调解书系民事诉讼当事人通过虚假诉讼获得的，依照《最高人民法院、最高人民检察院、公安部、司法部关于进一步加强虚假诉讼犯罪惩治工作的意见》第十八条规定办理。</w:t>
      </w:r>
    </w:p>
    <w:p w14:paraId="015F4250" w14:textId="77777777" w:rsidR="0093384C" w:rsidRDefault="0093384C" w:rsidP="0010037B">
      <w:pPr>
        <w:pStyle w:val="AD"/>
        <w:spacing w:line="276" w:lineRule="auto"/>
      </w:pPr>
    </w:p>
    <w:p w14:paraId="753DAB39" w14:textId="4F6A5E2A" w:rsidR="00FD1C01" w:rsidRPr="00FD1C01" w:rsidRDefault="008343B1" w:rsidP="0010037B">
      <w:pPr>
        <w:pStyle w:val="AD"/>
        <w:spacing w:line="276" w:lineRule="auto"/>
      </w:pPr>
      <w:r>
        <w:rPr>
          <w:rFonts w:hint="eastAsia"/>
        </w:rPr>
        <w:lastRenderedPageBreak/>
        <w:t xml:space="preserve">　　</w:t>
      </w:r>
      <w:r w:rsidR="00FD1C01" w:rsidRPr="00FD1C01">
        <w:rPr>
          <w:rFonts w:hint="eastAsia"/>
        </w:rPr>
        <w:t>第三条</w:t>
      </w:r>
      <w:r w:rsidR="00BD6686">
        <w:rPr>
          <w:rFonts w:hint="eastAsia"/>
        </w:rPr>
        <w:t xml:space="preserve"> </w:t>
      </w:r>
      <w:r w:rsidR="00FD1C01" w:rsidRPr="00FD1C01">
        <w:rPr>
          <w:rFonts w:hint="eastAsia"/>
        </w:rPr>
        <w:t>人民检察院对同级人民法院再审或者审判委员会讨论后作出的生效民事判决、裁定、调解书，一般不适用提出再审检察建议的方式进行监督。</w:t>
      </w:r>
    </w:p>
    <w:p w14:paraId="59DEABEE" w14:textId="52196C10" w:rsidR="00FD1C01" w:rsidRPr="00FD1C01" w:rsidRDefault="008343B1" w:rsidP="0010037B">
      <w:pPr>
        <w:pStyle w:val="AD"/>
        <w:spacing w:line="276" w:lineRule="auto"/>
      </w:pPr>
      <w:r>
        <w:rPr>
          <w:rFonts w:hint="eastAsia"/>
        </w:rPr>
        <w:t xml:space="preserve">　　</w:t>
      </w:r>
      <w:r w:rsidR="00FD1C01" w:rsidRPr="00FD1C01">
        <w:rPr>
          <w:rFonts w:hint="eastAsia"/>
        </w:rPr>
        <w:t>人民法院生效民事判决、裁定、调解书存在的笔误或者表述瑕疵不属于提出再审检察建议的情形，人民检察院可以提出改进工作建议。</w:t>
      </w:r>
    </w:p>
    <w:p w14:paraId="2025772C" w14:textId="77777777" w:rsidR="0093384C" w:rsidRDefault="0093384C" w:rsidP="0010037B">
      <w:pPr>
        <w:pStyle w:val="AD"/>
        <w:spacing w:line="276" w:lineRule="auto"/>
      </w:pPr>
    </w:p>
    <w:p w14:paraId="4E76BDF9" w14:textId="44EE33FE" w:rsidR="00FD1C01" w:rsidRPr="00FD1C01" w:rsidRDefault="008343B1" w:rsidP="0010037B">
      <w:pPr>
        <w:pStyle w:val="AD"/>
        <w:spacing w:line="276" w:lineRule="auto"/>
      </w:pPr>
      <w:r>
        <w:rPr>
          <w:rFonts w:hint="eastAsia"/>
        </w:rPr>
        <w:t xml:space="preserve">　　</w:t>
      </w:r>
      <w:r w:rsidR="00FD1C01" w:rsidRPr="00FD1C01">
        <w:rPr>
          <w:rFonts w:hint="eastAsia"/>
        </w:rPr>
        <w:t>第四条</w:t>
      </w:r>
      <w:r w:rsidR="00BD6686">
        <w:rPr>
          <w:rFonts w:hint="eastAsia"/>
        </w:rPr>
        <w:t xml:space="preserve"> </w:t>
      </w:r>
      <w:r w:rsidR="00FD1C01" w:rsidRPr="00FD1C01">
        <w:rPr>
          <w:rFonts w:hint="eastAsia"/>
        </w:rPr>
        <w:t>人民检察院提出再审检察建议，一般应当经检察委员会讨论决定。存在特殊情形的，人民检察院可与同级人民法院会商解决。</w:t>
      </w:r>
    </w:p>
    <w:p w14:paraId="2A1F83FF" w14:textId="77777777" w:rsidR="0093384C" w:rsidRDefault="0093384C" w:rsidP="0010037B">
      <w:pPr>
        <w:pStyle w:val="AD"/>
        <w:spacing w:line="276" w:lineRule="auto"/>
      </w:pPr>
    </w:p>
    <w:p w14:paraId="3C62E49B" w14:textId="2F16AE53" w:rsidR="00FD1C01" w:rsidRPr="00FD1C01" w:rsidRDefault="008343B1" w:rsidP="0010037B">
      <w:pPr>
        <w:pStyle w:val="AD"/>
        <w:spacing w:line="276" w:lineRule="auto"/>
      </w:pPr>
      <w:r>
        <w:rPr>
          <w:rFonts w:hint="eastAsia"/>
        </w:rPr>
        <w:t xml:space="preserve">　　</w:t>
      </w:r>
      <w:r w:rsidR="00FD1C01" w:rsidRPr="00FD1C01">
        <w:rPr>
          <w:rFonts w:hint="eastAsia"/>
        </w:rPr>
        <w:t>第五条</w:t>
      </w:r>
      <w:r w:rsidR="00BD6686">
        <w:rPr>
          <w:rFonts w:hint="eastAsia"/>
        </w:rPr>
        <w:t xml:space="preserve"> </w:t>
      </w:r>
      <w:r w:rsidR="00FD1C01" w:rsidRPr="00FD1C01">
        <w:rPr>
          <w:rFonts w:hint="eastAsia"/>
        </w:rPr>
        <w:t>人民检察院提出再审检察建议，应当将再审检察建议书连同检察案件材料一并移送同级人民法院。</w:t>
      </w:r>
    </w:p>
    <w:p w14:paraId="38E8DE68" w14:textId="79F29CFB" w:rsidR="00FD1C01" w:rsidRPr="00FD1C01" w:rsidRDefault="008343B1" w:rsidP="0010037B">
      <w:pPr>
        <w:pStyle w:val="AD"/>
        <w:spacing w:line="276" w:lineRule="auto"/>
      </w:pPr>
      <w:r>
        <w:rPr>
          <w:rFonts w:hint="eastAsia"/>
        </w:rPr>
        <w:t xml:space="preserve">　　</w:t>
      </w:r>
      <w:r w:rsidR="00FD1C01" w:rsidRPr="00FD1C01">
        <w:rPr>
          <w:rFonts w:hint="eastAsia"/>
        </w:rPr>
        <w:t>再审检察建议书应当载明案件相关情况、监督意见并列明原判决、裁定、调解书存在《中华人民共和国民事诉讼法》第二百一十五条、第二百一十六条规定的情形。</w:t>
      </w:r>
    </w:p>
    <w:p w14:paraId="58A91C4A" w14:textId="50905065" w:rsidR="00FD1C01" w:rsidRPr="00FD1C01" w:rsidRDefault="008343B1" w:rsidP="0010037B">
      <w:pPr>
        <w:pStyle w:val="AD"/>
        <w:spacing w:line="276" w:lineRule="auto"/>
      </w:pPr>
      <w:r>
        <w:rPr>
          <w:rFonts w:hint="eastAsia"/>
        </w:rPr>
        <w:t xml:space="preserve">　　</w:t>
      </w:r>
      <w:r w:rsidR="00FD1C01" w:rsidRPr="00FD1C01">
        <w:rPr>
          <w:rFonts w:hint="eastAsia"/>
        </w:rPr>
        <w:t>人民检察院提出再审检察建议案件不符合前述规定的，人民法院依照《最高人民法院关于适用〈中华人民共和国民事诉讼法〉的解释》第四百一十四条规定处理。</w:t>
      </w:r>
    </w:p>
    <w:p w14:paraId="4202861D" w14:textId="77777777" w:rsidR="0093384C" w:rsidRDefault="0093384C" w:rsidP="0010037B">
      <w:pPr>
        <w:pStyle w:val="AD"/>
        <w:spacing w:line="276" w:lineRule="auto"/>
      </w:pPr>
    </w:p>
    <w:p w14:paraId="6AAF1AEC" w14:textId="2A254DC6" w:rsidR="00FD1C01" w:rsidRPr="00FD1C01" w:rsidRDefault="008343B1" w:rsidP="0010037B">
      <w:pPr>
        <w:pStyle w:val="AD"/>
        <w:spacing w:line="276" w:lineRule="auto"/>
      </w:pPr>
      <w:r>
        <w:rPr>
          <w:rFonts w:hint="eastAsia"/>
        </w:rPr>
        <w:t xml:space="preserve">　　</w:t>
      </w:r>
      <w:r w:rsidR="00FD1C01" w:rsidRPr="00FD1C01">
        <w:rPr>
          <w:rFonts w:hint="eastAsia"/>
        </w:rPr>
        <w:t>第六条</w:t>
      </w:r>
      <w:r w:rsidR="00BD6686">
        <w:rPr>
          <w:rFonts w:hint="eastAsia"/>
        </w:rPr>
        <w:t xml:space="preserve"> </w:t>
      </w:r>
      <w:r w:rsidR="00FD1C01" w:rsidRPr="00FD1C01">
        <w:rPr>
          <w:rFonts w:hint="eastAsia"/>
        </w:rPr>
        <w:t>人民法院应当自收到符合条件的再审检察建议书和相关检察案件材料之日起七日内编立案号，纳入案件流程管理，依法进行审查，并告知人民检察院。</w:t>
      </w:r>
    </w:p>
    <w:p w14:paraId="5AA8B9FB" w14:textId="14A2218F" w:rsidR="00FD1C01" w:rsidRPr="00FD1C01" w:rsidRDefault="008343B1" w:rsidP="0010037B">
      <w:pPr>
        <w:pStyle w:val="AD"/>
        <w:spacing w:line="276" w:lineRule="auto"/>
      </w:pPr>
      <w:r>
        <w:rPr>
          <w:rFonts w:hint="eastAsia"/>
        </w:rPr>
        <w:t xml:space="preserve">　　</w:t>
      </w:r>
      <w:r w:rsidR="00FD1C01" w:rsidRPr="00FD1C01">
        <w:rPr>
          <w:rFonts w:hint="eastAsia"/>
        </w:rPr>
        <w:t>本院或者上级人民法院已</w:t>
      </w:r>
      <w:proofErr w:type="gramStart"/>
      <w:r w:rsidR="00FD1C01" w:rsidRPr="00FD1C01">
        <w:rPr>
          <w:rFonts w:hint="eastAsia"/>
        </w:rPr>
        <w:t>作出</w:t>
      </w:r>
      <w:proofErr w:type="gramEnd"/>
      <w:r w:rsidR="00FD1C01" w:rsidRPr="00FD1C01">
        <w:rPr>
          <w:rFonts w:hint="eastAsia"/>
        </w:rPr>
        <w:t>驳回再审申请裁定的，不影响人民法院受理同级人民检察院提出的再审检察建议。</w:t>
      </w:r>
    </w:p>
    <w:p w14:paraId="15F3C1C1" w14:textId="5754B6BA" w:rsidR="00FD1C01" w:rsidRPr="00FD1C01" w:rsidRDefault="008343B1" w:rsidP="0010037B">
      <w:pPr>
        <w:pStyle w:val="AD"/>
        <w:spacing w:line="276" w:lineRule="auto"/>
      </w:pPr>
      <w:r>
        <w:rPr>
          <w:rFonts w:hint="eastAsia"/>
        </w:rPr>
        <w:t xml:space="preserve">　　</w:t>
      </w:r>
      <w:r w:rsidR="00FD1C01" w:rsidRPr="00FD1C01">
        <w:rPr>
          <w:rFonts w:hint="eastAsia"/>
        </w:rPr>
        <w:t>人民检察院提出再审检察建议的案件已经同级人民法院裁定再审但尚未审结的，人民法院应当将再审检察建议并入再审案件一并审理，并函告人民检察院。案件已经上级人民法院裁定再审但尚未审结的，同级人民法院可以将再审检察建议书及检察案件材料报送上级人民法院并告知提出再审检察建议的人民检察院。</w:t>
      </w:r>
    </w:p>
    <w:p w14:paraId="34BE6B8A" w14:textId="77777777" w:rsidR="0093384C" w:rsidRDefault="0093384C" w:rsidP="0010037B">
      <w:pPr>
        <w:pStyle w:val="AD"/>
        <w:spacing w:line="276" w:lineRule="auto"/>
      </w:pPr>
    </w:p>
    <w:p w14:paraId="435CCE59" w14:textId="69E17452" w:rsidR="00FD1C01" w:rsidRPr="00FD1C01" w:rsidRDefault="008343B1" w:rsidP="0010037B">
      <w:pPr>
        <w:pStyle w:val="AD"/>
        <w:spacing w:line="276" w:lineRule="auto"/>
      </w:pPr>
      <w:r>
        <w:rPr>
          <w:rFonts w:hint="eastAsia"/>
        </w:rPr>
        <w:t xml:space="preserve">　　</w:t>
      </w:r>
      <w:r w:rsidR="00FD1C01" w:rsidRPr="00FD1C01">
        <w:rPr>
          <w:rFonts w:hint="eastAsia"/>
        </w:rPr>
        <w:t>第七条</w:t>
      </w:r>
      <w:r w:rsidR="00BD6686">
        <w:rPr>
          <w:rFonts w:hint="eastAsia"/>
        </w:rPr>
        <w:t xml:space="preserve"> </w:t>
      </w:r>
      <w:r w:rsidR="00FD1C01" w:rsidRPr="00FD1C01">
        <w:rPr>
          <w:rFonts w:hint="eastAsia"/>
        </w:rPr>
        <w:t>人民法院对民事再审检察建议案件，应当组成合议庭，在三个月内审查完毕。有特殊情况需要延长的，应当依照相关审批程序延长审查期限。</w:t>
      </w:r>
    </w:p>
    <w:p w14:paraId="5A64FFE0" w14:textId="1B849603" w:rsidR="00FD1C01" w:rsidRPr="00FD1C01" w:rsidRDefault="008343B1" w:rsidP="0010037B">
      <w:pPr>
        <w:pStyle w:val="AD"/>
        <w:spacing w:line="276" w:lineRule="auto"/>
      </w:pPr>
      <w:r>
        <w:rPr>
          <w:rFonts w:hint="eastAsia"/>
        </w:rPr>
        <w:t xml:space="preserve">　　</w:t>
      </w:r>
      <w:r w:rsidR="00FD1C01" w:rsidRPr="00FD1C01">
        <w:rPr>
          <w:rFonts w:hint="eastAsia"/>
        </w:rPr>
        <w:t>在原审判程序中参与过本案审判工作的审判人员，不得再参与该民事再审检察建议案件的办理。</w:t>
      </w:r>
    </w:p>
    <w:p w14:paraId="32DA1EF6" w14:textId="77777777" w:rsidR="0093384C" w:rsidRDefault="0093384C" w:rsidP="0010037B">
      <w:pPr>
        <w:pStyle w:val="AD"/>
        <w:spacing w:line="276" w:lineRule="auto"/>
      </w:pPr>
    </w:p>
    <w:p w14:paraId="6FB92284" w14:textId="0E684946" w:rsidR="00FD1C01" w:rsidRPr="00FD1C01" w:rsidRDefault="008343B1" w:rsidP="0010037B">
      <w:pPr>
        <w:pStyle w:val="AD"/>
        <w:spacing w:line="276" w:lineRule="auto"/>
      </w:pPr>
      <w:r>
        <w:rPr>
          <w:rFonts w:hint="eastAsia"/>
        </w:rPr>
        <w:t xml:space="preserve">　　</w:t>
      </w:r>
      <w:r w:rsidR="00FD1C01" w:rsidRPr="00FD1C01">
        <w:rPr>
          <w:rFonts w:hint="eastAsia"/>
        </w:rPr>
        <w:t>第八条</w:t>
      </w:r>
      <w:r w:rsidR="00BD6686">
        <w:rPr>
          <w:rFonts w:hint="eastAsia"/>
        </w:rPr>
        <w:t xml:space="preserve"> </w:t>
      </w:r>
      <w:r w:rsidR="00FD1C01" w:rsidRPr="00FD1C01">
        <w:rPr>
          <w:rFonts w:hint="eastAsia"/>
        </w:rPr>
        <w:t>人民法院对民事再审检察建议案件，一般采取审查人民检察院移交的案件材料、调阅原审案件卷宗等方式进行书面审查。经审查，案件可能启动再审或者存在其他确有必要情形的，应当询问当事人。</w:t>
      </w:r>
    </w:p>
    <w:p w14:paraId="74D1B26F" w14:textId="77777777" w:rsidR="0093384C" w:rsidRDefault="0093384C" w:rsidP="0010037B">
      <w:pPr>
        <w:pStyle w:val="AD"/>
        <w:spacing w:line="276" w:lineRule="auto"/>
      </w:pPr>
    </w:p>
    <w:p w14:paraId="2C6E229B" w14:textId="06E1289E" w:rsidR="00FD1C01" w:rsidRPr="00FD1C01" w:rsidRDefault="008343B1" w:rsidP="0010037B">
      <w:pPr>
        <w:pStyle w:val="AD"/>
        <w:spacing w:line="276" w:lineRule="auto"/>
      </w:pPr>
      <w:r>
        <w:rPr>
          <w:rFonts w:hint="eastAsia"/>
        </w:rPr>
        <w:t xml:space="preserve">　　</w:t>
      </w:r>
      <w:r w:rsidR="00FD1C01" w:rsidRPr="00FD1C01">
        <w:rPr>
          <w:rFonts w:hint="eastAsia"/>
        </w:rPr>
        <w:t>第九条</w:t>
      </w:r>
      <w:r w:rsidR="00BD6686">
        <w:rPr>
          <w:rFonts w:hint="eastAsia"/>
        </w:rPr>
        <w:t xml:space="preserve"> </w:t>
      </w:r>
      <w:r w:rsidR="00FD1C01" w:rsidRPr="00FD1C01">
        <w:rPr>
          <w:rFonts w:hint="eastAsia"/>
        </w:rPr>
        <w:t>人民法院对民事再审检察建议案件经审查认为原判决、裁定、调解书确有错误，决定采纳检察建议启动再审的，再审裁定书应当载明监督机关及民事再审检察建议文号。裁定书应当送交同级人民检察院。</w:t>
      </w:r>
    </w:p>
    <w:p w14:paraId="18326981" w14:textId="055E5719" w:rsidR="00FD1C01" w:rsidRPr="00FD1C01" w:rsidRDefault="008343B1" w:rsidP="0010037B">
      <w:pPr>
        <w:pStyle w:val="AD"/>
        <w:spacing w:line="276" w:lineRule="auto"/>
      </w:pPr>
      <w:r>
        <w:rPr>
          <w:rFonts w:hint="eastAsia"/>
        </w:rPr>
        <w:t xml:space="preserve">　　</w:t>
      </w:r>
      <w:r w:rsidR="00FD1C01" w:rsidRPr="00FD1C01">
        <w:rPr>
          <w:rFonts w:hint="eastAsia"/>
        </w:rPr>
        <w:t>人民法院经审查决定不予再审的，应当书面回复</w:t>
      </w:r>
      <w:proofErr w:type="gramStart"/>
      <w:r w:rsidR="00FD1C01" w:rsidRPr="00FD1C01">
        <w:rPr>
          <w:rFonts w:hint="eastAsia"/>
        </w:rPr>
        <w:t>人民检察院并述明理</w:t>
      </w:r>
      <w:proofErr w:type="gramEnd"/>
      <w:r w:rsidR="00FD1C01" w:rsidRPr="00FD1C01">
        <w:rPr>
          <w:rFonts w:hint="eastAsia"/>
        </w:rPr>
        <w:t>由。人民检察院可以适当方式将人民法院不予再审结果告知申请人。</w:t>
      </w:r>
    </w:p>
    <w:p w14:paraId="15F50BD5" w14:textId="77777777" w:rsidR="0093384C" w:rsidRDefault="0093384C" w:rsidP="0010037B">
      <w:pPr>
        <w:pStyle w:val="AD"/>
        <w:spacing w:line="276" w:lineRule="auto"/>
      </w:pPr>
    </w:p>
    <w:p w14:paraId="6106417E" w14:textId="04B1D994" w:rsidR="00FD1C01" w:rsidRPr="00FD1C01" w:rsidRDefault="008343B1" w:rsidP="0010037B">
      <w:pPr>
        <w:pStyle w:val="AD"/>
        <w:spacing w:line="276" w:lineRule="auto"/>
      </w:pPr>
      <w:r>
        <w:rPr>
          <w:rFonts w:hint="eastAsia"/>
        </w:rPr>
        <w:lastRenderedPageBreak/>
        <w:t xml:space="preserve">　　</w:t>
      </w:r>
      <w:r w:rsidR="00FD1C01" w:rsidRPr="00FD1C01">
        <w:rPr>
          <w:rFonts w:hint="eastAsia"/>
        </w:rPr>
        <w:t>第十条</w:t>
      </w:r>
      <w:r w:rsidR="00BD6686">
        <w:rPr>
          <w:rFonts w:hint="eastAsia"/>
        </w:rPr>
        <w:t xml:space="preserve"> </w:t>
      </w:r>
      <w:r w:rsidR="00FD1C01" w:rsidRPr="00FD1C01">
        <w:rPr>
          <w:rFonts w:hint="eastAsia"/>
        </w:rPr>
        <w:t>人民法院采纳再审检察建议启动再审的民事案件，按照《最高人民法院关于适用〈中华人民共和国民事诉讼法〉的解释》第四百零二条第一款第三项、第四项规定的程序开庭审理。有下列情形之一的，人民检察院可以派员出席法庭：</w:t>
      </w:r>
    </w:p>
    <w:p w14:paraId="480B717D" w14:textId="7AF34757" w:rsidR="00FD1C01" w:rsidRPr="00FD1C01" w:rsidRDefault="008343B1" w:rsidP="0010037B">
      <w:pPr>
        <w:pStyle w:val="AD"/>
        <w:spacing w:line="276" w:lineRule="auto"/>
      </w:pPr>
      <w:r>
        <w:rPr>
          <w:rFonts w:hint="eastAsia"/>
        </w:rPr>
        <w:t xml:space="preserve">　　</w:t>
      </w:r>
      <w:r w:rsidR="00FD1C01" w:rsidRPr="00FD1C01">
        <w:rPr>
          <w:rFonts w:hint="eastAsia"/>
        </w:rPr>
        <w:t>（一）人民检察院认为原案的处理损害国家利益或者社会公共利益的；</w:t>
      </w:r>
    </w:p>
    <w:p w14:paraId="7A0DA5C5" w14:textId="25830CEA" w:rsidR="00FD1C01" w:rsidRPr="00FD1C01" w:rsidRDefault="008343B1" w:rsidP="0010037B">
      <w:pPr>
        <w:pStyle w:val="AD"/>
        <w:spacing w:line="276" w:lineRule="auto"/>
      </w:pPr>
      <w:r>
        <w:rPr>
          <w:rFonts w:hint="eastAsia"/>
        </w:rPr>
        <w:t xml:space="preserve">　　</w:t>
      </w:r>
      <w:r w:rsidR="00FD1C01" w:rsidRPr="00FD1C01">
        <w:rPr>
          <w:rFonts w:hint="eastAsia"/>
        </w:rPr>
        <w:t>（二）人民检察院认为原案存在虚假诉讼的；</w:t>
      </w:r>
    </w:p>
    <w:p w14:paraId="789D5CD7" w14:textId="19F7FB11" w:rsidR="00FD1C01" w:rsidRPr="00FD1C01" w:rsidRDefault="008343B1" w:rsidP="0010037B">
      <w:pPr>
        <w:pStyle w:val="AD"/>
        <w:spacing w:line="276" w:lineRule="auto"/>
      </w:pPr>
      <w:r>
        <w:rPr>
          <w:rFonts w:hint="eastAsia"/>
        </w:rPr>
        <w:t xml:space="preserve">　　</w:t>
      </w:r>
      <w:r w:rsidR="00FD1C01" w:rsidRPr="00FD1C01">
        <w:rPr>
          <w:rFonts w:hint="eastAsia"/>
        </w:rPr>
        <w:t>（三）人民检察院调查核实的证据需要向法庭出示的；</w:t>
      </w:r>
    </w:p>
    <w:p w14:paraId="47FFA20F" w14:textId="7F4FF174" w:rsidR="00FD1C01" w:rsidRPr="00FD1C01" w:rsidRDefault="008343B1" w:rsidP="0010037B">
      <w:pPr>
        <w:pStyle w:val="AD"/>
        <w:spacing w:line="276" w:lineRule="auto"/>
      </w:pPr>
      <w:r>
        <w:rPr>
          <w:rFonts w:hint="eastAsia"/>
        </w:rPr>
        <w:t xml:space="preserve">　　</w:t>
      </w:r>
      <w:r w:rsidR="00FD1C01" w:rsidRPr="00FD1C01">
        <w:rPr>
          <w:rFonts w:hint="eastAsia"/>
        </w:rPr>
        <w:t>（四）具有重大社会影响等其他确有出庭必要的。</w:t>
      </w:r>
    </w:p>
    <w:p w14:paraId="34F90054" w14:textId="311CBBBC" w:rsidR="00FD1C01" w:rsidRPr="00FD1C01" w:rsidRDefault="008343B1" w:rsidP="0010037B">
      <w:pPr>
        <w:pStyle w:val="AD"/>
        <w:spacing w:line="276" w:lineRule="auto"/>
      </w:pPr>
      <w:r>
        <w:rPr>
          <w:rFonts w:hint="eastAsia"/>
        </w:rPr>
        <w:t xml:space="preserve">　　</w:t>
      </w:r>
      <w:r w:rsidR="00FD1C01" w:rsidRPr="00FD1C01">
        <w:rPr>
          <w:rFonts w:hint="eastAsia"/>
        </w:rPr>
        <w:t>人民检察院派员出席法庭的，可以参照《最高人民法院关于适用〈中华人民共和国民事诉讼法〉的解释》第四百零二条第一款第二项规定的程序开庭审理。</w:t>
      </w:r>
    </w:p>
    <w:p w14:paraId="06C911C0" w14:textId="77777777" w:rsidR="0093384C" w:rsidRDefault="0093384C" w:rsidP="0010037B">
      <w:pPr>
        <w:pStyle w:val="AD"/>
        <w:spacing w:line="276" w:lineRule="auto"/>
      </w:pPr>
    </w:p>
    <w:p w14:paraId="4F8E590D" w14:textId="257929DD" w:rsidR="00FD1C01" w:rsidRPr="00FD1C01" w:rsidRDefault="008343B1" w:rsidP="0010037B">
      <w:pPr>
        <w:pStyle w:val="AD"/>
        <w:spacing w:line="276" w:lineRule="auto"/>
      </w:pPr>
      <w:r>
        <w:rPr>
          <w:rFonts w:hint="eastAsia"/>
        </w:rPr>
        <w:t xml:space="preserve">　　</w:t>
      </w:r>
      <w:r w:rsidR="00FD1C01" w:rsidRPr="00FD1C01">
        <w:rPr>
          <w:rFonts w:hint="eastAsia"/>
        </w:rPr>
        <w:t>第十一条</w:t>
      </w:r>
      <w:r w:rsidR="00BD6686">
        <w:rPr>
          <w:rFonts w:hint="eastAsia"/>
        </w:rPr>
        <w:t xml:space="preserve"> </w:t>
      </w:r>
      <w:r w:rsidR="00FD1C01" w:rsidRPr="00FD1C01">
        <w:rPr>
          <w:rFonts w:hint="eastAsia"/>
        </w:rPr>
        <w:t>人民法院采纳再审检察建议启动再审的民事案件，应当将再审后作出的判决书、裁定书送交同级人民检察院。调解结案的，书面告知同级人民检察院。</w:t>
      </w:r>
    </w:p>
    <w:p w14:paraId="44B308B7" w14:textId="77777777" w:rsidR="0093384C" w:rsidRDefault="0093384C" w:rsidP="0010037B">
      <w:pPr>
        <w:pStyle w:val="AD"/>
        <w:spacing w:line="276" w:lineRule="auto"/>
      </w:pPr>
    </w:p>
    <w:p w14:paraId="22FB2CF4" w14:textId="759FCDDF" w:rsidR="00FD1C01" w:rsidRPr="00FD1C01" w:rsidRDefault="008343B1" w:rsidP="0010037B">
      <w:pPr>
        <w:pStyle w:val="AD"/>
        <w:spacing w:line="276" w:lineRule="auto"/>
      </w:pPr>
      <w:r>
        <w:rPr>
          <w:rFonts w:hint="eastAsia"/>
        </w:rPr>
        <w:t xml:space="preserve">　　</w:t>
      </w:r>
      <w:r w:rsidR="00FD1C01" w:rsidRPr="00FD1C01">
        <w:rPr>
          <w:rFonts w:hint="eastAsia"/>
        </w:rPr>
        <w:t>第十二条</w:t>
      </w:r>
      <w:r w:rsidR="00BD6686">
        <w:rPr>
          <w:rFonts w:hint="eastAsia"/>
        </w:rPr>
        <w:t xml:space="preserve"> </w:t>
      </w:r>
      <w:r w:rsidR="00FD1C01" w:rsidRPr="00FD1C01">
        <w:rPr>
          <w:rFonts w:hint="eastAsia"/>
        </w:rPr>
        <w:t>人民法院、人民检察院应当建立民事再审检察建议案件共同调解机制，做好民事再审检察建议案件调解和矛盾化解工作。</w:t>
      </w:r>
    </w:p>
    <w:p w14:paraId="23D36BDA" w14:textId="77777777" w:rsidR="0093384C" w:rsidRDefault="0093384C" w:rsidP="0010037B">
      <w:pPr>
        <w:pStyle w:val="AD"/>
        <w:spacing w:line="276" w:lineRule="auto"/>
      </w:pPr>
    </w:p>
    <w:p w14:paraId="18F84F54" w14:textId="4CCB90CB" w:rsidR="00FD1C01" w:rsidRPr="00FD1C01" w:rsidRDefault="008343B1" w:rsidP="0010037B">
      <w:pPr>
        <w:pStyle w:val="AD"/>
        <w:spacing w:line="276" w:lineRule="auto"/>
      </w:pPr>
      <w:r>
        <w:rPr>
          <w:rFonts w:hint="eastAsia"/>
        </w:rPr>
        <w:t xml:space="preserve">　　</w:t>
      </w:r>
      <w:r w:rsidR="00FD1C01" w:rsidRPr="00FD1C01">
        <w:rPr>
          <w:rFonts w:hint="eastAsia"/>
        </w:rPr>
        <w:t>第十三条</w:t>
      </w:r>
      <w:r w:rsidR="00BD6686">
        <w:rPr>
          <w:rFonts w:hint="eastAsia"/>
        </w:rPr>
        <w:t xml:space="preserve"> </w:t>
      </w:r>
      <w:r w:rsidR="00FD1C01" w:rsidRPr="00FD1C01">
        <w:rPr>
          <w:rFonts w:hint="eastAsia"/>
        </w:rPr>
        <w:t>人民法院、人民检察院应当探索建立常态化工</w:t>
      </w:r>
      <w:proofErr w:type="gramStart"/>
      <w:r w:rsidR="00FD1C01" w:rsidRPr="00FD1C01">
        <w:rPr>
          <w:rFonts w:hint="eastAsia"/>
        </w:rPr>
        <w:t>作联系</w:t>
      </w:r>
      <w:proofErr w:type="gramEnd"/>
      <w:r w:rsidR="00FD1C01" w:rsidRPr="00FD1C01">
        <w:rPr>
          <w:rFonts w:hint="eastAsia"/>
        </w:rPr>
        <w:t>机制。对涉及群体性纠纷或者引发社会广泛关注，可能影响社会稳定的案件，以及重大、疑难、复杂、敏感等案件，人民法院、人民检察院在办理过程中，应当加强相互沟通，依法妥善处理。</w:t>
      </w:r>
    </w:p>
    <w:p w14:paraId="21C917FC" w14:textId="77777777" w:rsidR="0093384C" w:rsidRDefault="0093384C" w:rsidP="0010037B">
      <w:pPr>
        <w:pStyle w:val="AD"/>
        <w:spacing w:line="276" w:lineRule="auto"/>
      </w:pPr>
    </w:p>
    <w:p w14:paraId="09081652" w14:textId="5EE022FB" w:rsidR="00FD1C01" w:rsidRPr="00FD1C01" w:rsidRDefault="008343B1" w:rsidP="0010037B">
      <w:pPr>
        <w:pStyle w:val="AD"/>
        <w:spacing w:line="276" w:lineRule="auto"/>
      </w:pPr>
      <w:r>
        <w:rPr>
          <w:rFonts w:hint="eastAsia"/>
        </w:rPr>
        <w:t xml:space="preserve">　　</w:t>
      </w:r>
      <w:r w:rsidR="00FD1C01" w:rsidRPr="00FD1C01">
        <w:rPr>
          <w:rFonts w:hint="eastAsia"/>
        </w:rPr>
        <w:t>第十四条</w:t>
      </w:r>
      <w:r w:rsidR="00BD6686">
        <w:rPr>
          <w:rFonts w:hint="eastAsia"/>
        </w:rPr>
        <w:t xml:space="preserve"> </w:t>
      </w:r>
      <w:r w:rsidR="00FD1C01" w:rsidRPr="00FD1C01">
        <w:rPr>
          <w:rFonts w:hint="eastAsia"/>
        </w:rPr>
        <w:t>人民法院、人民检察院应当定期开展再审检察建议工作综合分析和通报，推动审判监督和检察监督工作良性互动，提升再审检察建议案件办理质效。</w:t>
      </w:r>
    </w:p>
    <w:p w14:paraId="7CD816C2" w14:textId="17D47E1C" w:rsidR="00B15193" w:rsidRDefault="008343B1" w:rsidP="0010037B">
      <w:pPr>
        <w:pStyle w:val="AD"/>
        <w:spacing w:line="276" w:lineRule="auto"/>
      </w:pPr>
      <w:r>
        <w:rPr>
          <w:rFonts w:hint="eastAsia"/>
        </w:rPr>
        <w:t xml:space="preserve">　　</w:t>
      </w:r>
      <w:r w:rsidR="00FD1C01" w:rsidRPr="00FD1C01">
        <w:rPr>
          <w:rFonts w:hint="eastAsia"/>
        </w:rPr>
        <w:t>地方各级人民法院、人民检察院在实践中遇到新情况、新问题可先行会商，并将相关问题及应对措施及时层报最高人民法院、最高人民检察院。</w:t>
      </w:r>
    </w:p>
    <w:p w14:paraId="75A3161F" w14:textId="77777777" w:rsidR="0010037B" w:rsidRDefault="0010037B" w:rsidP="0010037B">
      <w:pPr>
        <w:pStyle w:val="AD"/>
        <w:spacing w:line="276" w:lineRule="auto"/>
      </w:pPr>
    </w:p>
    <w:p w14:paraId="35DC9C14" w14:textId="77777777" w:rsidR="008343B1" w:rsidRPr="0093384C" w:rsidRDefault="008343B1" w:rsidP="0010037B">
      <w:pPr>
        <w:pStyle w:val="AD"/>
        <w:spacing w:line="276" w:lineRule="auto"/>
        <w:rPr>
          <w:rFonts w:hint="eastAsia"/>
        </w:rPr>
      </w:pPr>
    </w:p>
    <w:p w14:paraId="4E1076BD" w14:textId="0C948FFC" w:rsidR="0083789C" w:rsidRDefault="0083789C" w:rsidP="0010037B">
      <w:pPr>
        <w:pStyle w:val="AD"/>
        <w:spacing w:line="276" w:lineRule="auto"/>
        <w:rPr>
          <w:rStyle w:val="a7"/>
        </w:rPr>
      </w:pPr>
      <w:r>
        <w:rPr>
          <w:rFonts w:hint="eastAsia"/>
        </w:rPr>
        <w:t>信息来源：</w:t>
      </w:r>
      <w:hyperlink r:id="rId7" w:history="1">
        <w:r w:rsidRPr="00EE246E">
          <w:rPr>
            <w:rStyle w:val="a7"/>
          </w:rPr>
          <w:t>https://www.cou</w:t>
        </w:r>
        <w:r w:rsidRPr="00EE246E">
          <w:rPr>
            <w:rStyle w:val="a7"/>
          </w:rPr>
          <w:t>r</w:t>
        </w:r>
        <w:r w:rsidRPr="00EE246E">
          <w:rPr>
            <w:rStyle w:val="a7"/>
          </w:rPr>
          <w:t>t.gov.cn/fabu/xiangqing/418832.html</w:t>
        </w:r>
      </w:hyperlink>
    </w:p>
    <w:p w14:paraId="0CE1F612" w14:textId="77777777" w:rsidR="008343B1" w:rsidRPr="0083789C" w:rsidRDefault="008343B1" w:rsidP="0010037B">
      <w:pPr>
        <w:pStyle w:val="AD"/>
        <w:spacing w:line="276" w:lineRule="auto"/>
      </w:pPr>
    </w:p>
    <w:sectPr w:rsidR="008343B1" w:rsidRPr="0083789C" w:rsidSect="00E73FF5">
      <w:pgSz w:w="11906" w:h="16838" w:code="9"/>
      <w:pgMar w:top="1418" w:right="1418" w:bottom="1134" w:left="1418" w:header="720" w:footer="720"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041E0" w14:textId="77777777" w:rsidR="003E4A8D" w:rsidRDefault="003E4A8D" w:rsidP="00C20A6A">
      <w:pPr>
        <w:spacing w:line="240" w:lineRule="auto"/>
      </w:pPr>
      <w:r>
        <w:separator/>
      </w:r>
    </w:p>
  </w:endnote>
  <w:endnote w:type="continuationSeparator" w:id="0">
    <w:p w14:paraId="521755CD" w14:textId="77777777" w:rsidR="003E4A8D" w:rsidRDefault="003E4A8D" w:rsidP="00C20A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EC401" w14:textId="77777777" w:rsidR="003E4A8D" w:rsidRDefault="003E4A8D" w:rsidP="00C20A6A">
      <w:pPr>
        <w:spacing w:line="240" w:lineRule="auto"/>
      </w:pPr>
      <w:r>
        <w:separator/>
      </w:r>
    </w:p>
  </w:footnote>
  <w:footnote w:type="continuationSeparator" w:id="0">
    <w:p w14:paraId="5CF0EB5A" w14:textId="77777777" w:rsidR="003E4A8D" w:rsidRDefault="003E4A8D" w:rsidP="00C20A6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F18CB"/>
    <w:multiLevelType w:val="multilevel"/>
    <w:tmpl w:val="C1740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F83B71"/>
    <w:multiLevelType w:val="multilevel"/>
    <w:tmpl w:val="4EEAD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40259398">
    <w:abstractNumId w:val="1"/>
  </w:num>
  <w:num w:numId="2" w16cid:durableId="12960664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C01"/>
    <w:rsid w:val="00015CD0"/>
    <w:rsid w:val="00033B1D"/>
    <w:rsid w:val="0006747F"/>
    <w:rsid w:val="00067A83"/>
    <w:rsid w:val="000E6F37"/>
    <w:rsid w:val="000F4C6A"/>
    <w:rsid w:val="0010037B"/>
    <w:rsid w:val="00105044"/>
    <w:rsid w:val="001107C2"/>
    <w:rsid w:val="00176A25"/>
    <w:rsid w:val="001C4C6F"/>
    <w:rsid w:val="00205041"/>
    <w:rsid w:val="002812BE"/>
    <w:rsid w:val="003D27E2"/>
    <w:rsid w:val="003E4A8D"/>
    <w:rsid w:val="004B5983"/>
    <w:rsid w:val="004D4AE2"/>
    <w:rsid w:val="005264B6"/>
    <w:rsid w:val="0053130D"/>
    <w:rsid w:val="005F7C76"/>
    <w:rsid w:val="00696597"/>
    <w:rsid w:val="007D7BDB"/>
    <w:rsid w:val="008143D4"/>
    <w:rsid w:val="008178B8"/>
    <w:rsid w:val="008343B1"/>
    <w:rsid w:val="0083789C"/>
    <w:rsid w:val="008D59BC"/>
    <w:rsid w:val="0093384C"/>
    <w:rsid w:val="00990563"/>
    <w:rsid w:val="009B1C7D"/>
    <w:rsid w:val="009C0655"/>
    <w:rsid w:val="009C2F1B"/>
    <w:rsid w:val="00A548E7"/>
    <w:rsid w:val="00A739C7"/>
    <w:rsid w:val="00B15193"/>
    <w:rsid w:val="00B731F1"/>
    <w:rsid w:val="00BB39A3"/>
    <w:rsid w:val="00BC5229"/>
    <w:rsid w:val="00BD6686"/>
    <w:rsid w:val="00BE75F6"/>
    <w:rsid w:val="00C13C09"/>
    <w:rsid w:val="00C20A6A"/>
    <w:rsid w:val="00C22624"/>
    <w:rsid w:val="00CE2892"/>
    <w:rsid w:val="00D01BCE"/>
    <w:rsid w:val="00D02718"/>
    <w:rsid w:val="00D146C5"/>
    <w:rsid w:val="00D41F5E"/>
    <w:rsid w:val="00E1211B"/>
    <w:rsid w:val="00E73FF5"/>
    <w:rsid w:val="00EB78AB"/>
    <w:rsid w:val="00F21688"/>
    <w:rsid w:val="00F36849"/>
    <w:rsid w:val="00FD1C01"/>
    <w:rsid w:val="00FE52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C24500"/>
  <w15:chartTrackingRefBased/>
  <w15:docId w15:val="{3FD80BFC-2F07-424E-9A8C-FAA597C24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2624"/>
    <w:pPr>
      <w:widowControl w:val="0"/>
      <w:overflowPunct w:val="0"/>
      <w:spacing w:line="280" w:lineRule="atLeast"/>
      <w:jc w:val="both"/>
    </w:pPr>
    <w:rPr>
      <w:rFonts w:ascii="Arial" w:eastAsia="宋体" w:hAnsi="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D">
    <w:name w:val="AD"/>
    <w:basedOn w:val="a"/>
    <w:rsid w:val="00176A25"/>
  </w:style>
  <w:style w:type="paragraph" w:customStyle="1" w:styleId="AX">
    <w:name w:val="AX"/>
    <w:basedOn w:val="a"/>
    <w:rsid w:val="00176A25"/>
    <w:pPr>
      <w:ind w:hangingChars="405" w:hanging="405"/>
    </w:pPr>
  </w:style>
  <w:style w:type="paragraph" w:customStyle="1" w:styleId="AY">
    <w:name w:val="AY"/>
    <w:basedOn w:val="a"/>
    <w:rsid w:val="00176A25"/>
    <w:pPr>
      <w:ind w:left="851"/>
    </w:pPr>
  </w:style>
  <w:style w:type="paragraph" w:customStyle="1" w:styleId="BX">
    <w:name w:val="BX"/>
    <w:basedOn w:val="a"/>
    <w:rsid w:val="00176A25"/>
    <w:pPr>
      <w:ind w:left="1702" w:hanging="851"/>
    </w:pPr>
  </w:style>
  <w:style w:type="paragraph" w:customStyle="1" w:styleId="BY">
    <w:name w:val="BY"/>
    <w:basedOn w:val="a"/>
    <w:rsid w:val="00176A25"/>
    <w:pPr>
      <w:ind w:left="1701"/>
    </w:pPr>
  </w:style>
  <w:style w:type="paragraph" w:customStyle="1" w:styleId="CX">
    <w:name w:val="CX"/>
    <w:basedOn w:val="a"/>
    <w:rsid w:val="00176A25"/>
    <w:pPr>
      <w:ind w:left="2552" w:hanging="851"/>
    </w:pPr>
  </w:style>
  <w:style w:type="paragraph" w:customStyle="1" w:styleId="CY">
    <w:name w:val="CY"/>
    <w:basedOn w:val="a"/>
    <w:rsid w:val="00176A25"/>
    <w:pPr>
      <w:ind w:left="2552"/>
    </w:pPr>
  </w:style>
  <w:style w:type="paragraph" w:customStyle="1" w:styleId="DX">
    <w:name w:val="DX"/>
    <w:basedOn w:val="a"/>
    <w:rsid w:val="00176A25"/>
    <w:pPr>
      <w:ind w:left="3403" w:hanging="851"/>
    </w:pPr>
  </w:style>
  <w:style w:type="paragraph" w:customStyle="1" w:styleId="DY">
    <w:name w:val="DY"/>
    <w:basedOn w:val="a"/>
    <w:rsid w:val="00176A25"/>
    <w:pPr>
      <w:ind w:left="3402"/>
    </w:pPr>
  </w:style>
  <w:style w:type="paragraph" w:customStyle="1" w:styleId="H1">
    <w:name w:val="H1"/>
    <w:basedOn w:val="a"/>
    <w:next w:val="a"/>
    <w:rsid w:val="000F4C6A"/>
    <w:pPr>
      <w:keepNext/>
      <w:keepLines/>
      <w:ind w:hangingChars="405" w:hanging="896"/>
      <w:jc w:val="left"/>
      <w:outlineLvl w:val="0"/>
    </w:pPr>
    <w:rPr>
      <w:b/>
    </w:rPr>
  </w:style>
  <w:style w:type="paragraph" w:customStyle="1" w:styleId="H2">
    <w:name w:val="H2"/>
    <w:basedOn w:val="a"/>
    <w:next w:val="a"/>
    <w:link w:val="H2Char"/>
    <w:rsid w:val="001C4C6F"/>
    <w:pPr>
      <w:keepNext/>
      <w:keepLines/>
      <w:ind w:left="1702" w:hanging="851"/>
      <w:jc w:val="left"/>
      <w:outlineLvl w:val="1"/>
    </w:pPr>
    <w:rPr>
      <w:b/>
    </w:rPr>
  </w:style>
  <w:style w:type="paragraph" w:customStyle="1" w:styleId="H3">
    <w:name w:val="H3"/>
    <w:basedOn w:val="a"/>
    <w:next w:val="a"/>
    <w:link w:val="H3Char"/>
    <w:rsid w:val="001C4C6F"/>
    <w:pPr>
      <w:keepNext/>
      <w:keepLines/>
      <w:ind w:left="2552" w:hanging="851"/>
      <w:jc w:val="left"/>
      <w:outlineLvl w:val="2"/>
    </w:pPr>
    <w:rPr>
      <w:b/>
    </w:rPr>
  </w:style>
  <w:style w:type="paragraph" w:customStyle="1" w:styleId="H4">
    <w:name w:val="H4"/>
    <w:basedOn w:val="a"/>
    <w:next w:val="a"/>
    <w:link w:val="H4Char"/>
    <w:rsid w:val="001C4C6F"/>
    <w:pPr>
      <w:keepNext/>
      <w:keepLines/>
      <w:ind w:left="3403" w:hanging="851"/>
      <w:jc w:val="left"/>
      <w:outlineLvl w:val="3"/>
    </w:pPr>
    <w:rPr>
      <w:b/>
    </w:rPr>
  </w:style>
  <w:style w:type="paragraph" w:customStyle="1" w:styleId="H5">
    <w:name w:val="H5"/>
    <w:basedOn w:val="a"/>
    <w:next w:val="a"/>
    <w:rsid w:val="001C4C6F"/>
    <w:pPr>
      <w:keepNext/>
      <w:keepLines/>
      <w:ind w:left="4253" w:hanging="851"/>
      <w:jc w:val="left"/>
      <w:outlineLvl w:val="4"/>
    </w:pPr>
    <w:rPr>
      <w:b/>
    </w:rPr>
  </w:style>
  <w:style w:type="paragraph" w:customStyle="1" w:styleId="H1M">
    <w:name w:val="H1_M"/>
    <w:basedOn w:val="a"/>
    <w:next w:val="a"/>
    <w:rsid w:val="000F4C6A"/>
    <w:pPr>
      <w:keepNext/>
      <w:keepLines/>
      <w:ind w:hangingChars="405" w:hanging="403"/>
      <w:jc w:val="center"/>
      <w:outlineLvl w:val="0"/>
    </w:pPr>
    <w:rPr>
      <w:b/>
    </w:rPr>
  </w:style>
  <w:style w:type="character" w:customStyle="1" w:styleId="H2Char">
    <w:name w:val="H2 Char"/>
    <w:basedOn w:val="a0"/>
    <w:link w:val="H2"/>
    <w:rsid w:val="001C4C6F"/>
    <w:rPr>
      <w:rFonts w:ascii="Arial" w:eastAsia="宋体" w:hAnsi="Arial"/>
      <w:b/>
      <w:sz w:val="22"/>
    </w:rPr>
  </w:style>
  <w:style w:type="character" w:customStyle="1" w:styleId="H3Char">
    <w:name w:val="H3 Char"/>
    <w:basedOn w:val="a0"/>
    <w:link w:val="H3"/>
    <w:rsid w:val="001C4C6F"/>
    <w:rPr>
      <w:rFonts w:ascii="Arial" w:eastAsia="宋体" w:hAnsi="Arial"/>
      <w:b/>
      <w:sz w:val="22"/>
    </w:rPr>
  </w:style>
  <w:style w:type="character" w:customStyle="1" w:styleId="H4Char">
    <w:name w:val="H4 Char"/>
    <w:basedOn w:val="a0"/>
    <w:link w:val="H4"/>
    <w:rsid w:val="001C4C6F"/>
    <w:rPr>
      <w:rFonts w:ascii="Arial" w:eastAsia="宋体" w:hAnsi="Arial"/>
      <w:b/>
      <w:sz w:val="22"/>
    </w:rPr>
  </w:style>
  <w:style w:type="paragraph" w:styleId="a3">
    <w:name w:val="header"/>
    <w:basedOn w:val="a"/>
    <w:link w:val="a4"/>
    <w:uiPriority w:val="99"/>
    <w:unhideWhenUsed/>
    <w:rsid w:val="00C20A6A"/>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4">
    <w:name w:val="页眉 字符"/>
    <w:basedOn w:val="a0"/>
    <w:link w:val="a3"/>
    <w:uiPriority w:val="99"/>
    <w:rsid w:val="00C20A6A"/>
    <w:rPr>
      <w:rFonts w:ascii="Arial" w:eastAsia="宋体" w:hAnsi="Arial"/>
      <w:sz w:val="18"/>
      <w:szCs w:val="18"/>
    </w:rPr>
  </w:style>
  <w:style w:type="paragraph" w:styleId="a5">
    <w:name w:val="footer"/>
    <w:basedOn w:val="a"/>
    <w:link w:val="a6"/>
    <w:uiPriority w:val="99"/>
    <w:unhideWhenUsed/>
    <w:rsid w:val="00C20A6A"/>
    <w:pPr>
      <w:tabs>
        <w:tab w:val="center" w:pos="4153"/>
        <w:tab w:val="right" w:pos="8306"/>
      </w:tabs>
      <w:snapToGrid w:val="0"/>
      <w:spacing w:line="240" w:lineRule="atLeast"/>
      <w:jc w:val="left"/>
    </w:pPr>
    <w:rPr>
      <w:sz w:val="18"/>
      <w:szCs w:val="18"/>
    </w:rPr>
  </w:style>
  <w:style w:type="character" w:customStyle="1" w:styleId="a6">
    <w:name w:val="页脚 字符"/>
    <w:basedOn w:val="a0"/>
    <w:link w:val="a5"/>
    <w:uiPriority w:val="99"/>
    <w:rsid w:val="00C20A6A"/>
    <w:rPr>
      <w:rFonts w:ascii="Arial" w:eastAsia="宋体" w:hAnsi="Arial"/>
      <w:sz w:val="18"/>
      <w:szCs w:val="18"/>
    </w:rPr>
  </w:style>
  <w:style w:type="character" w:styleId="a7">
    <w:name w:val="Hyperlink"/>
    <w:basedOn w:val="a0"/>
    <w:uiPriority w:val="99"/>
    <w:unhideWhenUsed/>
    <w:rsid w:val="00FD1C01"/>
    <w:rPr>
      <w:color w:val="0000FF" w:themeColor="hyperlink"/>
      <w:u w:val="single"/>
    </w:rPr>
  </w:style>
  <w:style w:type="character" w:styleId="a8">
    <w:name w:val="Unresolved Mention"/>
    <w:basedOn w:val="a0"/>
    <w:uiPriority w:val="99"/>
    <w:semiHidden/>
    <w:unhideWhenUsed/>
    <w:rsid w:val="00FD1C01"/>
    <w:rPr>
      <w:color w:val="605E5C"/>
      <w:shd w:val="clear" w:color="auto" w:fill="E1DFDD"/>
    </w:rPr>
  </w:style>
  <w:style w:type="character" w:styleId="a9">
    <w:name w:val="FollowedHyperlink"/>
    <w:basedOn w:val="a0"/>
    <w:uiPriority w:val="99"/>
    <w:semiHidden/>
    <w:unhideWhenUsed/>
    <w:rsid w:val="0010037B"/>
    <w:rPr>
      <w:color w:val="800080" w:themeColor="followedHyperlink"/>
      <w:u w:val="single"/>
    </w:rPr>
  </w:style>
  <w:style w:type="paragraph" w:styleId="aa">
    <w:name w:val="Date"/>
    <w:basedOn w:val="a"/>
    <w:next w:val="a"/>
    <w:link w:val="ab"/>
    <w:uiPriority w:val="99"/>
    <w:semiHidden/>
    <w:unhideWhenUsed/>
    <w:rsid w:val="002812BE"/>
    <w:pPr>
      <w:ind w:leftChars="2500" w:left="100"/>
    </w:pPr>
  </w:style>
  <w:style w:type="character" w:customStyle="1" w:styleId="ab">
    <w:name w:val="日期 字符"/>
    <w:basedOn w:val="a0"/>
    <w:link w:val="aa"/>
    <w:uiPriority w:val="99"/>
    <w:semiHidden/>
    <w:rsid w:val="002812BE"/>
    <w:rPr>
      <w:rFonts w:ascii="Arial" w:eastAsia="宋体"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762007">
      <w:bodyDiv w:val="1"/>
      <w:marLeft w:val="0"/>
      <w:marRight w:val="0"/>
      <w:marTop w:val="0"/>
      <w:marBottom w:val="0"/>
      <w:divBdr>
        <w:top w:val="none" w:sz="0" w:space="0" w:color="auto"/>
        <w:left w:val="none" w:sz="0" w:space="0" w:color="auto"/>
        <w:bottom w:val="none" w:sz="0" w:space="0" w:color="auto"/>
        <w:right w:val="none" w:sz="0" w:space="0" w:color="auto"/>
      </w:divBdr>
      <w:divsChild>
        <w:div w:id="176046050">
          <w:marLeft w:val="0"/>
          <w:marRight w:val="0"/>
          <w:marTop w:val="300"/>
          <w:marBottom w:val="450"/>
          <w:divBdr>
            <w:top w:val="none" w:sz="0" w:space="0" w:color="auto"/>
            <w:left w:val="none" w:sz="0" w:space="0" w:color="auto"/>
            <w:bottom w:val="single" w:sz="6" w:space="0" w:color="D7D7D7"/>
            <w:right w:val="none" w:sz="0" w:space="0" w:color="auto"/>
          </w:divBdr>
        </w:div>
        <w:div w:id="1000037603">
          <w:marLeft w:val="0"/>
          <w:marRight w:val="0"/>
          <w:marTop w:val="0"/>
          <w:marBottom w:val="0"/>
          <w:divBdr>
            <w:top w:val="none" w:sz="0" w:space="0" w:color="auto"/>
            <w:left w:val="none" w:sz="0" w:space="0" w:color="auto"/>
            <w:bottom w:val="single" w:sz="6" w:space="0" w:color="D7D7D7"/>
            <w:right w:val="none" w:sz="0" w:space="0" w:color="auto"/>
          </w:divBdr>
          <w:divsChild>
            <w:div w:id="174641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097353">
      <w:bodyDiv w:val="1"/>
      <w:marLeft w:val="0"/>
      <w:marRight w:val="0"/>
      <w:marTop w:val="0"/>
      <w:marBottom w:val="0"/>
      <w:divBdr>
        <w:top w:val="none" w:sz="0" w:space="0" w:color="auto"/>
        <w:left w:val="none" w:sz="0" w:space="0" w:color="auto"/>
        <w:bottom w:val="none" w:sz="0" w:space="0" w:color="auto"/>
        <w:right w:val="none" w:sz="0" w:space="0" w:color="auto"/>
      </w:divBdr>
    </w:div>
    <w:div w:id="2037926114">
      <w:bodyDiv w:val="1"/>
      <w:marLeft w:val="0"/>
      <w:marRight w:val="0"/>
      <w:marTop w:val="0"/>
      <w:marBottom w:val="0"/>
      <w:divBdr>
        <w:top w:val="none" w:sz="0" w:space="0" w:color="auto"/>
        <w:left w:val="none" w:sz="0" w:space="0" w:color="auto"/>
        <w:bottom w:val="none" w:sz="0" w:space="0" w:color="auto"/>
        <w:right w:val="none" w:sz="0" w:space="0" w:color="auto"/>
      </w:divBdr>
    </w:div>
    <w:div w:id="2122996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ourt.gov.cn/fabu/xiangqing/418832.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3</Pages>
  <Words>413</Words>
  <Characters>2360</Characters>
  <Application>Microsoft Office Word</Application>
  <DocSecurity>0</DocSecurity>
  <Lines>19</Lines>
  <Paragraphs>5</Paragraphs>
  <ScaleCrop>false</ScaleCrop>
  <Company/>
  <LinksUpToDate>false</LinksUpToDate>
  <CharactersWithSpaces>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HHP</dc:creator>
  <cp:keywords/>
  <dc:description/>
  <cp:lastModifiedBy>Yanlu Shen</cp:lastModifiedBy>
  <cp:revision>11</cp:revision>
  <dcterms:created xsi:type="dcterms:W3CDTF">2023-11-30T02:02:00Z</dcterms:created>
  <dcterms:modified xsi:type="dcterms:W3CDTF">2023-12-01T04:21:00Z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3747837c3889a446214c105d34647222b7edcd984a308f5bdbf5385d3b4206d2</vt:lpwstr>
  </property>
</Properties>
</file>