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04B1" w14:textId="564EC788" w:rsidR="00B87745" w:rsidRPr="00D5017E" w:rsidRDefault="00B87745" w:rsidP="00B87745">
      <w:pPr>
        <w:jc w:val="center"/>
        <w:rPr>
          <w:b/>
          <w:bCs/>
          <w:color w:val="E36C0A"/>
          <w:sz w:val="32"/>
          <w:szCs w:val="32"/>
          <w14:ligatures w14:val="none"/>
        </w:rPr>
      </w:pPr>
      <w:r w:rsidRPr="00D5017E">
        <w:rPr>
          <w:rFonts w:hint="eastAsia"/>
          <w:b/>
          <w:bCs/>
          <w:color w:val="E36C0A"/>
          <w:sz w:val="32"/>
          <w:szCs w:val="32"/>
          <w14:ligatures w14:val="none"/>
        </w:rPr>
        <w:t>关于支持首台（套）重大技术装备平等参与企业招标投标活动的指导意见</w:t>
      </w:r>
    </w:p>
    <w:p w14:paraId="4C45C621" w14:textId="77777777" w:rsidR="00B87745" w:rsidRDefault="00B87745" w:rsidP="00B87745">
      <w:pPr>
        <w:jc w:val="center"/>
      </w:pPr>
      <w:r>
        <w:rPr>
          <w:rFonts w:hint="eastAsia"/>
        </w:rPr>
        <w:t>工信</w:t>
      </w:r>
      <w:proofErr w:type="gramStart"/>
      <w:r>
        <w:rPr>
          <w:rFonts w:hint="eastAsia"/>
        </w:rPr>
        <w:t>部联重装</w:t>
      </w:r>
      <w:proofErr w:type="gramEnd"/>
      <w:r>
        <w:rPr>
          <w:rFonts w:hint="eastAsia"/>
        </w:rPr>
        <w:t>〔</w:t>
      </w:r>
      <w:r>
        <w:rPr>
          <w:rFonts w:hint="eastAsia"/>
        </w:rPr>
        <w:t>2023</w:t>
      </w:r>
      <w:r>
        <w:rPr>
          <w:rFonts w:hint="eastAsia"/>
        </w:rPr>
        <w:t>〕</w:t>
      </w:r>
      <w:r>
        <w:rPr>
          <w:rFonts w:hint="eastAsia"/>
        </w:rPr>
        <w:t>127</w:t>
      </w:r>
      <w:r>
        <w:rPr>
          <w:rFonts w:hint="eastAsia"/>
        </w:rPr>
        <w:t>号</w:t>
      </w:r>
    </w:p>
    <w:p w14:paraId="0233EA64" w14:textId="77777777" w:rsidR="00B87745" w:rsidRDefault="00B87745" w:rsidP="00B87745"/>
    <w:p w14:paraId="598DB9E1" w14:textId="64B6DD25" w:rsidR="00B87745" w:rsidRDefault="00B87745" w:rsidP="00B87745">
      <w:r>
        <w:rPr>
          <w:rFonts w:hint="eastAsia"/>
        </w:rPr>
        <w:t>各省、自治区、直辖市及计划单列市、新疆生产建设兵团工业和信息化、发展改革主管部门，国资委，中央企业，各有关单位：</w:t>
      </w:r>
    </w:p>
    <w:p w14:paraId="2D20D809" w14:textId="77777777" w:rsidR="00B87745" w:rsidRDefault="00B87745" w:rsidP="00B87745"/>
    <w:p w14:paraId="600CAF4E" w14:textId="77777777" w:rsidR="00B87745" w:rsidRDefault="00B87745" w:rsidP="006329B9">
      <w:pPr>
        <w:ind w:firstLineChars="200" w:firstLine="440"/>
      </w:pPr>
      <w:r>
        <w:rPr>
          <w:rFonts w:hint="eastAsia"/>
        </w:rPr>
        <w:t>为支持首台（套）重大技术装备平等参与企业招标投标活动，促进首台（套）重大技术装备推广应用，根据《招标投标法》等相关法律法规及政策文件，现提出如下意见。</w:t>
      </w:r>
    </w:p>
    <w:p w14:paraId="2CDFFE81" w14:textId="77777777" w:rsidR="00B87745" w:rsidRDefault="00B87745" w:rsidP="006329B9">
      <w:pPr>
        <w:ind w:firstLine="200"/>
      </w:pPr>
    </w:p>
    <w:p w14:paraId="28336139" w14:textId="77777777" w:rsidR="00B87745" w:rsidRPr="00B87745" w:rsidRDefault="00B87745" w:rsidP="006329B9">
      <w:pPr>
        <w:ind w:firstLine="200"/>
        <w:rPr>
          <w:b/>
          <w:bCs/>
        </w:rPr>
      </w:pPr>
      <w:r w:rsidRPr="00B87745">
        <w:rPr>
          <w:rFonts w:hint="eastAsia"/>
          <w:b/>
          <w:bCs/>
        </w:rPr>
        <w:t>一、规范招标要求</w:t>
      </w:r>
    </w:p>
    <w:p w14:paraId="1935AE66" w14:textId="77777777" w:rsidR="00B87745" w:rsidRDefault="00B87745" w:rsidP="006329B9">
      <w:pPr>
        <w:ind w:firstLine="200"/>
      </w:pPr>
    </w:p>
    <w:p w14:paraId="3B7045B6" w14:textId="77777777" w:rsidR="00B87745" w:rsidRDefault="00B87745" w:rsidP="006329B9">
      <w:pPr>
        <w:ind w:firstLine="200"/>
      </w:pPr>
      <w:r>
        <w:rPr>
          <w:rFonts w:hint="eastAsia"/>
        </w:rPr>
        <w:t>（一）国有资金占控股或者主导地位的企业项目，招标首台（套）重大技术装备同类型产品的，适用本意见。本意见所指首台（套）重大技术装备需符合重大技术装备推广应用目录（以下简称推广应用目录）内装备及主要参数。推广应用目录可在中国招标投标公共服务平台、省级招标投标公共服务平台、重大技术装备招标投标信息平台查询。</w:t>
      </w:r>
    </w:p>
    <w:p w14:paraId="7940AC29" w14:textId="77777777" w:rsidR="00B87745" w:rsidRDefault="00B87745" w:rsidP="006329B9">
      <w:pPr>
        <w:ind w:firstLine="200"/>
      </w:pPr>
    </w:p>
    <w:p w14:paraId="58417EF0" w14:textId="392F3FFF" w:rsidR="00B87745" w:rsidRDefault="00B87745" w:rsidP="006329B9">
      <w:pPr>
        <w:ind w:firstLine="200"/>
      </w:pPr>
      <w:r>
        <w:rPr>
          <w:rFonts w:hint="eastAsia"/>
        </w:rPr>
        <w:t>（二）招标投标活动要严格执行招标投标法律法规及有关政策文件，不得要求或者标明特定的生产供应商，不得套用特定生产供应商的条件设定投标人资格、技术、商务条件，不得变相设置不合理条件或歧视性条款，限制或排斥首台（套）重大技术装备制造企业参与投标。</w:t>
      </w:r>
    </w:p>
    <w:p w14:paraId="63AFA0C4" w14:textId="77777777" w:rsidR="00B87745" w:rsidRDefault="00B87745" w:rsidP="006329B9">
      <w:pPr>
        <w:ind w:firstLine="200"/>
      </w:pPr>
    </w:p>
    <w:p w14:paraId="63B76867" w14:textId="77777777" w:rsidR="00B87745" w:rsidRDefault="00B87745" w:rsidP="006329B9">
      <w:pPr>
        <w:ind w:firstLine="200"/>
      </w:pPr>
      <w:r>
        <w:rPr>
          <w:rFonts w:hint="eastAsia"/>
        </w:rPr>
        <w:t>（三）招标活动不得超出招标项目实际需要或套用特定产品设置技术参数，鼓励通过市场调研、专家咨询论证等方式，深入开展需求调查，形成需求研究报告。招标首台（套）重大技术装备同类型产品时，招标文件中应公布推广应用目录中涉及的主要参数指标，并按照招标项目的具体特点和实际需要，提出技术条件，可以参考引用推广应用目录中的主要参数。</w:t>
      </w:r>
    </w:p>
    <w:p w14:paraId="127FCA63" w14:textId="77777777" w:rsidR="00B87745" w:rsidRDefault="00B87745" w:rsidP="006329B9">
      <w:pPr>
        <w:ind w:firstLine="200"/>
      </w:pPr>
    </w:p>
    <w:p w14:paraId="65AEF3DF" w14:textId="544D6BD9" w:rsidR="00B87745" w:rsidRDefault="00B87745" w:rsidP="006329B9">
      <w:pPr>
        <w:ind w:firstLine="200"/>
      </w:pPr>
      <w:r>
        <w:rPr>
          <w:rFonts w:hint="eastAsia"/>
        </w:rPr>
        <w:t>（四）对于已投保的首台（套）重大技术装备，一般不再收取质量保证金。</w:t>
      </w:r>
    </w:p>
    <w:p w14:paraId="03CEA9C0" w14:textId="77777777" w:rsidR="00B87745" w:rsidRDefault="00B87745" w:rsidP="006329B9">
      <w:pPr>
        <w:ind w:firstLine="200"/>
      </w:pPr>
    </w:p>
    <w:p w14:paraId="2A52E845" w14:textId="77777777" w:rsidR="00B87745" w:rsidRPr="00B87745" w:rsidRDefault="00B87745" w:rsidP="006329B9">
      <w:pPr>
        <w:ind w:firstLine="200"/>
        <w:rPr>
          <w:b/>
          <w:bCs/>
        </w:rPr>
      </w:pPr>
      <w:r w:rsidRPr="00B87745">
        <w:rPr>
          <w:rFonts w:hint="eastAsia"/>
          <w:b/>
          <w:bCs/>
        </w:rPr>
        <w:t>二、明确评标原则</w:t>
      </w:r>
    </w:p>
    <w:p w14:paraId="0328DDE8" w14:textId="77777777" w:rsidR="00B87745" w:rsidRDefault="00B87745" w:rsidP="006329B9">
      <w:pPr>
        <w:ind w:firstLine="200"/>
      </w:pPr>
    </w:p>
    <w:p w14:paraId="51D5CD7E" w14:textId="77777777" w:rsidR="00B87745" w:rsidRDefault="00B87745" w:rsidP="006329B9">
      <w:pPr>
        <w:ind w:firstLine="200"/>
      </w:pPr>
      <w:r>
        <w:rPr>
          <w:rFonts w:hint="eastAsia"/>
        </w:rPr>
        <w:t>（五）首台（套）重大技术装备参与招标投标活动，仅需提交首台（套）相关证明材料，即视同满足市场占有率、应用业绩等要求。评标办法应当有利于促进首台（套）重大技术装备推广应用，不得在市场占有率、应用业绩等方面设置歧视性评审标准。</w:t>
      </w:r>
    </w:p>
    <w:p w14:paraId="19F74A29" w14:textId="77777777" w:rsidR="00B87745" w:rsidRDefault="00B87745" w:rsidP="006329B9">
      <w:pPr>
        <w:ind w:firstLine="200"/>
      </w:pPr>
    </w:p>
    <w:p w14:paraId="3EE4BC3E" w14:textId="77777777" w:rsidR="00B87745" w:rsidRDefault="00B87745" w:rsidP="006329B9">
      <w:pPr>
        <w:ind w:firstLine="200"/>
      </w:pPr>
      <w:r>
        <w:rPr>
          <w:rFonts w:hint="eastAsia"/>
        </w:rPr>
        <w:t>（六）评标办法应明确重大技术装备不得在境外远程操控，在中国境内运营中收集和产生的个人信息和重要数据应当在境内存储。对于不符合《网络安全法》《数据安全法》《个人信息保护法》等有关国家安全法律法规的，经评标委员会认定，应否决其投标。</w:t>
      </w:r>
    </w:p>
    <w:p w14:paraId="24FFEC87" w14:textId="77777777" w:rsidR="00B87745" w:rsidRDefault="00B87745" w:rsidP="006329B9">
      <w:pPr>
        <w:ind w:firstLine="200"/>
      </w:pPr>
    </w:p>
    <w:p w14:paraId="33F82F63" w14:textId="3D89389B" w:rsidR="00B87745" w:rsidRDefault="00B87745" w:rsidP="006329B9">
      <w:pPr>
        <w:ind w:firstLine="200"/>
      </w:pPr>
      <w:r>
        <w:rPr>
          <w:rFonts w:hint="eastAsia"/>
        </w:rPr>
        <w:lastRenderedPageBreak/>
        <w:t>（七）评标办法应落实支持重大技术装备攻关创新、促进绿色低碳循环发展、维护产业</w:t>
      </w:r>
      <w:proofErr w:type="gramStart"/>
      <w:r>
        <w:rPr>
          <w:rFonts w:hint="eastAsia"/>
        </w:rPr>
        <w:t>链供应链安全</w:t>
      </w:r>
      <w:proofErr w:type="gramEnd"/>
      <w:r>
        <w:rPr>
          <w:rFonts w:hint="eastAsia"/>
        </w:rPr>
        <w:t>稳定等要求，将技术创新、资源能源利用效率、售后服务、后续供应、特殊或紧急情况下的履约能力等纳入评审指标范畴。</w:t>
      </w:r>
    </w:p>
    <w:p w14:paraId="533EAB6D" w14:textId="77777777" w:rsidR="00B87745" w:rsidRDefault="00B87745" w:rsidP="006329B9">
      <w:pPr>
        <w:ind w:firstLine="200"/>
      </w:pPr>
    </w:p>
    <w:p w14:paraId="264352DC" w14:textId="77777777" w:rsidR="00B87745" w:rsidRPr="00B87745" w:rsidRDefault="00B87745" w:rsidP="006329B9">
      <w:pPr>
        <w:ind w:firstLine="200"/>
        <w:rPr>
          <w:b/>
          <w:bCs/>
        </w:rPr>
      </w:pPr>
      <w:r w:rsidRPr="00B87745">
        <w:rPr>
          <w:rFonts w:hint="eastAsia"/>
          <w:b/>
          <w:bCs/>
        </w:rPr>
        <w:t>三、加强监督检查</w:t>
      </w:r>
    </w:p>
    <w:p w14:paraId="53ABBFC0" w14:textId="77777777" w:rsidR="00B87745" w:rsidRDefault="00B87745" w:rsidP="006329B9">
      <w:pPr>
        <w:ind w:firstLine="200"/>
      </w:pPr>
    </w:p>
    <w:p w14:paraId="7EE80AE7" w14:textId="77777777" w:rsidR="00B87745" w:rsidRDefault="00B87745" w:rsidP="006329B9">
      <w:pPr>
        <w:ind w:firstLine="200"/>
      </w:pPr>
      <w:r>
        <w:rPr>
          <w:rFonts w:hint="eastAsia"/>
        </w:rPr>
        <w:t>（八）工业和信息化主管部门联合有关部门及各省级工业和信息化主管部门，充分利用现有检查队伍和资源，通过“双随机、</w:t>
      </w:r>
      <w:proofErr w:type="gramStart"/>
      <w:r>
        <w:rPr>
          <w:rFonts w:hint="eastAsia"/>
        </w:rPr>
        <w:t>一</w:t>
      </w:r>
      <w:proofErr w:type="gramEnd"/>
      <w:r>
        <w:rPr>
          <w:rFonts w:hint="eastAsia"/>
        </w:rPr>
        <w:t>公开”等方式对相关重大技术装备招标投标活动实施监督检查。鼓励通过政府购买服务方式获取必要的支撑服务。</w:t>
      </w:r>
    </w:p>
    <w:p w14:paraId="3749E6EE" w14:textId="77777777" w:rsidR="00B87745" w:rsidRDefault="00B87745" w:rsidP="006329B9">
      <w:pPr>
        <w:ind w:firstLine="200"/>
      </w:pPr>
    </w:p>
    <w:p w14:paraId="23A92182" w14:textId="214DB799" w:rsidR="00B87745" w:rsidRDefault="00B87745" w:rsidP="006329B9">
      <w:pPr>
        <w:ind w:firstLine="200"/>
      </w:pPr>
      <w:r>
        <w:rPr>
          <w:rFonts w:hint="eastAsia"/>
        </w:rPr>
        <w:t>（九）各级工业和信息化主管部门要加强与招标投标行政监督、纪检监察、财政税收、国有资产监督管理等部门的沟通联系和协作配合。建立首台（套）重大技术装备参与招标投标问题线索联合处置、督导督办机制，依法从严查处违法违规行为。</w:t>
      </w:r>
    </w:p>
    <w:p w14:paraId="2A773A2A" w14:textId="77777777" w:rsidR="00B87745" w:rsidRDefault="00B87745" w:rsidP="006329B9">
      <w:pPr>
        <w:ind w:firstLine="200"/>
      </w:pPr>
    </w:p>
    <w:p w14:paraId="3AFF311A" w14:textId="77777777" w:rsidR="00B87745" w:rsidRDefault="00B87745" w:rsidP="006329B9">
      <w:pPr>
        <w:ind w:firstLine="200"/>
      </w:pPr>
      <w:r>
        <w:rPr>
          <w:rFonts w:hint="eastAsia"/>
        </w:rPr>
        <w:t>（十）开通首台（套）重大技术装备招标投标领域妨碍全国统一大市场建设问题线索和意见建议征集窗口，畅通市场主体信息反馈渠道，归集首台（套）重大技术装备招标投标负面行为。负面行为清单等信息在重大技术装备公共服务平台、重大技术装备招标投标信息平台上公布。</w:t>
      </w:r>
    </w:p>
    <w:p w14:paraId="6B0B9619" w14:textId="77777777" w:rsidR="00B87745" w:rsidRDefault="00B87745" w:rsidP="00B87745"/>
    <w:p w14:paraId="121B36FC" w14:textId="77777777" w:rsidR="00B87745" w:rsidRDefault="00B87745" w:rsidP="00B87745"/>
    <w:p w14:paraId="111D664E" w14:textId="735A8F0E" w:rsidR="00B87745" w:rsidRDefault="00B87745" w:rsidP="00B87745">
      <w:pPr>
        <w:jc w:val="right"/>
      </w:pPr>
      <w:r>
        <w:rPr>
          <w:rFonts w:hint="eastAsia"/>
        </w:rPr>
        <w:t>工业和信息化部</w:t>
      </w:r>
    </w:p>
    <w:p w14:paraId="5108BFA1" w14:textId="330C20FE" w:rsidR="00B87745" w:rsidRDefault="00B87745" w:rsidP="00B87745">
      <w:pPr>
        <w:jc w:val="right"/>
      </w:pPr>
      <w:r>
        <w:rPr>
          <w:rFonts w:hint="eastAsia"/>
        </w:rPr>
        <w:t>国家发展和改革委员会</w:t>
      </w:r>
    </w:p>
    <w:p w14:paraId="0B8DA54B" w14:textId="6C8485C1" w:rsidR="00B87745" w:rsidRDefault="00B87745" w:rsidP="00B87745">
      <w:pPr>
        <w:jc w:val="right"/>
      </w:pPr>
      <w:r>
        <w:rPr>
          <w:rFonts w:hint="eastAsia"/>
        </w:rPr>
        <w:t>国务院国有资产监督管理委员会</w:t>
      </w:r>
    </w:p>
    <w:p w14:paraId="540AE5C4" w14:textId="77777777" w:rsidR="00ED7F49" w:rsidRDefault="00B87745" w:rsidP="00B87745">
      <w:pPr>
        <w:jc w:val="right"/>
      </w:pPr>
      <w:r>
        <w:rPr>
          <w:rFonts w:hint="eastAsia"/>
        </w:rPr>
        <w:t>2023</w:t>
      </w:r>
      <w:r>
        <w:rPr>
          <w:rFonts w:hint="eastAsia"/>
        </w:rPr>
        <w:t>年</w:t>
      </w:r>
      <w:r>
        <w:rPr>
          <w:rFonts w:hint="eastAsia"/>
        </w:rPr>
        <w:t>8</w:t>
      </w:r>
      <w:r>
        <w:rPr>
          <w:rFonts w:hint="eastAsia"/>
        </w:rPr>
        <w:t>月</w:t>
      </w:r>
      <w:r>
        <w:rPr>
          <w:rFonts w:hint="eastAsia"/>
        </w:rPr>
        <w:t>16</w:t>
      </w:r>
      <w:r>
        <w:rPr>
          <w:rFonts w:hint="eastAsia"/>
        </w:rPr>
        <w:t>日</w:t>
      </w:r>
    </w:p>
    <w:p w14:paraId="5FC6EBA7" w14:textId="77777777" w:rsidR="00B87745" w:rsidRDefault="00B87745" w:rsidP="00B87745"/>
    <w:p w14:paraId="7B404ADA" w14:textId="77777777" w:rsidR="00B87745" w:rsidRDefault="00B87745" w:rsidP="00B87745"/>
    <w:p w14:paraId="679E7906" w14:textId="77777777" w:rsidR="00B87745" w:rsidRDefault="00B87745" w:rsidP="00B87745">
      <w:r>
        <w:rPr>
          <w:rFonts w:hint="eastAsia"/>
        </w:rPr>
        <w:t>信息来源：</w:t>
      </w:r>
    </w:p>
    <w:p w14:paraId="4AACB36D" w14:textId="1DBB3397" w:rsidR="00B87745" w:rsidRDefault="00000000" w:rsidP="00B87745">
      <w:hyperlink r:id="rId6" w:history="1">
        <w:r w:rsidR="00B87745" w:rsidRPr="00B37C6F">
          <w:rPr>
            <w:rStyle w:val="a5"/>
          </w:rPr>
          <w:t>https://www.miit.gov.cn/zwgk/zcwj/wjfb/yj/art/2023/a</w:t>
        </w:r>
        <w:r w:rsidR="00B87745" w:rsidRPr="00B37C6F">
          <w:rPr>
            <w:rStyle w:val="a5"/>
          </w:rPr>
          <w:t>r</w:t>
        </w:r>
        <w:r w:rsidR="00B87745" w:rsidRPr="00B37C6F">
          <w:rPr>
            <w:rStyle w:val="a5"/>
          </w:rPr>
          <w:t>t_40074ecc27bc4825ba5f9c40d7a56368.html</w:t>
        </w:r>
      </w:hyperlink>
    </w:p>
    <w:p w14:paraId="72FBDF5A" w14:textId="77777777" w:rsidR="00B87745" w:rsidRPr="00B87745" w:rsidRDefault="00B87745" w:rsidP="00B87745"/>
    <w:sectPr w:rsidR="00B87745" w:rsidRPr="00B87745" w:rsidSect="006329B9">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64FA" w14:textId="77777777" w:rsidR="005426C0" w:rsidRDefault="005426C0" w:rsidP="00D5017E">
      <w:pPr>
        <w:spacing w:line="240" w:lineRule="auto"/>
      </w:pPr>
      <w:r>
        <w:separator/>
      </w:r>
    </w:p>
  </w:endnote>
  <w:endnote w:type="continuationSeparator" w:id="0">
    <w:p w14:paraId="652A1965" w14:textId="77777777" w:rsidR="005426C0" w:rsidRDefault="005426C0" w:rsidP="00D50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CEC8" w14:textId="77777777" w:rsidR="005426C0" w:rsidRDefault="005426C0" w:rsidP="00D5017E">
      <w:pPr>
        <w:spacing w:line="240" w:lineRule="auto"/>
      </w:pPr>
      <w:r>
        <w:separator/>
      </w:r>
    </w:p>
  </w:footnote>
  <w:footnote w:type="continuationSeparator" w:id="0">
    <w:p w14:paraId="65DC9D69" w14:textId="77777777" w:rsidR="005426C0" w:rsidRDefault="005426C0" w:rsidP="00D501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45"/>
    <w:rsid w:val="005426C0"/>
    <w:rsid w:val="006329B9"/>
    <w:rsid w:val="00B87745"/>
    <w:rsid w:val="00D5017E"/>
    <w:rsid w:val="00ED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573A8"/>
  <w15:chartTrackingRefBased/>
  <w15:docId w15:val="{93265235-3897-499A-9172-7C530BF5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7745"/>
    <w:pPr>
      <w:ind w:leftChars="2500" w:left="100"/>
    </w:pPr>
  </w:style>
  <w:style w:type="character" w:customStyle="1" w:styleId="a4">
    <w:name w:val="日期 字符"/>
    <w:basedOn w:val="a0"/>
    <w:link w:val="a3"/>
    <w:uiPriority w:val="99"/>
    <w:semiHidden/>
    <w:rsid w:val="00B87745"/>
  </w:style>
  <w:style w:type="character" w:styleId="a5">
    <w:name w:val="Hyperlink"/>
    <w:basedOn w:val="a0"/>
    <w:uiPriority w:val="99"/>
    <w:unhideWhenUsed/>
    <w:rsid w:val="00B87745"/>
    <w:rPr>
      <w:color w:val="0563C1" w:themeColor="hyperlink"/>
      <w:u w:val="single"/>
    </w:rPr>
  </w:style>
  <w:style w:type="character" w:styleId="a6">
    <w:name w:val="Unresolved Mention"/>
    <w:basedOn w:val="a0"/>
    <w:uiPriority w:val="99"/>
    <w:semiHidden/>
    <w:unhideWhenUsed/>
    <w:rsid w:val="00B87745"/>
    <w:rPr>
      <w:color w:val="605E5C"/>
      <w:shd w:val="clear" w:color="auto" w:fill="E1DFDD"/>
    </w:rPr>
  </w:style>
  <w:style w:type="paragraph" w:styleId="a7">
    <w:name w:val="header"/>
    <w:basedOn w:val="a"/>
    <w:link w:val="a8"/>
    <w:uiPriority w:val="99"/>
    <w:unhideWhenUsed/>
    <w:rsid w:val="00D5017E"/>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D5017E"/>
    <w:rPr>
      <w:sz w:val="18"/>
      <w:szCs w:val="18"/>
    </w:rPr>
  </w:style>
  <w:style w:type="paragraph" w:styleId="a9">
    <w:name w:val="footer"/>
    <w:basedOn w:val="a"/>
    <w:link w:val="aa"/>
    <w:uiPriority w:val="99"/>
    <w:unhideWhenUsed/>
    <w:rsid w:val="00D5017E"/>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D5017E"/>
    <w:rPr>
      <w:sz w:val="18"/>
      <w:szCs w:val="18"/>
    </w:rPr>
  </w:style>
  <w:style w:type="character" w:styleId="ab">
    <w:name w:val="FollowedHyperlink"/>
    <w:basedOn w:val="a0"/>
    <w:uiPriority w:val="99"/>
    <w:semiHidden/>
    <w:unhideWhenUsed/>
    <w:rsid w:val="00632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zwgk/zcwj/wjfb/yj/art/2023/art_40074ecc27bc4825ba5f9c40d7a5636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2023-09-21T03:37:00Z</dcterms:created>
  <dcterms:modified xsi:type="dcterms:W3CDTF">2023-09-22T07:23:00Z</dcterms:modified>
</cp:coreProperties>
</file>