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3732" w14:textId="77777777" w:rsidR="00180D43" w:rsidRPr="00041084" w:rsidRDefault="00180D43" w:rsidP="00041084">
      <w:pPr>
        <w:pStyle w:val="AD"/>
        <w:spacing w:line="276" w:lineRule="auto"/>
        <w:jc w:val="center"/>
        <w:rPr>
          <w:b/>
          <w:bCs/>
          <w:color w:val="E36C0A"/>
          <w:sz w:val="32"/>
          <w:szCs w:val="32"/>
        </w:rPr>
      </w:pPr>
      <w:r w:rsidRPr="00041084">
        <w:rPr>
          <w:rFonts w:hint="eastAsia"/>
          <w:b/>
          <w:bCs/>
          <w:color w:val="E36C0A"/>
          <w:sz w:val="32"/>
          <w:szCs w:val="32"/>
        </w:rPr>
        <w:t>关于规范货币经纪公司数据服务有关事项的通知</w:t>
      </w:r>
    </w:p>
    <w:p w14:paraId="11AA88D6" w14:textId="751FDD95" w:rsidR="00180D43" w:rsidRDefault="00180D43" w:rsidP="00180D43">
      <w:pPr>
        <w:jc w:val="center"/>
      </w:pPr>
      <w:r w:rsidRPr="00180D43">
        <w:rPr>
          <w:rFonts w:hint="eastAsia"/>
        </w:rPr>
        <w:t>金发〔</w:t>
      </w:r>
      <w:r w:rsidRPr="00180D43">
        <w:rPr>
          <w:rFonts w:hint="eastAsia"/>
        </w:rPr>
        <w:t>2023</w:t>
      </w:r>
      <w:r w:rsidRPr="00180D43">
        <w:rPr>
          <w:rFonts w:hint="eastAsia"/>
        </w:rPr>
        <w:t>〕</w:t>
      </w:r>
      <w:r w:rsidRPr="00180D43">
        <w:rPr>
          <w:rFonts w:hint="eastAsia"/>
        </w:rPr>
        <w:t>6</w:t>
      </w:r>
      <w:r w:rsidRPr="00180D43">
        <w:rPr>
          <w:rFonts w:hint="eastAsia"/>
        </w:rPr>
        <w:t>号</w:t>
      </w:r>
    </w:p>
    <w:p w14:paraId="1338C75A" w14:textId="77777777" w:rsidR="00180D43" w:rsidRDefault="00180D43" w:rsidP="00180D43"/>
    <w:p w14:paraId="6E126402" w14:textId="1389345D" w:rsidR="00180D43" w:rsidRDefault="00180D43" w:rsidP="00180D43">
      <w:r>
        <w:rPr>
          <w:rFonts w:hint="eastAsia"/>
        </w:rPr>
        <w:t>国家金融监督管理总局北京监管局、天津监管局、上海监管局、深圳监管局，各货币经纪公司，中国外汇交易中心，银行间市场清算所股份有限公司，中央国债登记结算有限责任公司，上海证券交易所，深圳证券交易所，北京证券交易所，中国金融期货交易所，中国证券登记结算有限责任公司，中证机构间报价系统股份有限公司，中债资信评估有限责任公司，中证指数有限公司，中债金融估值中心有限公司，境内外金融信息服务商：</w:t>
      </w:r>
    </w:p>
    <w:p w14:paraId="5293A1AD" w14:textId="77777777" w:rsidR="00180D43" w:rsidRDefault="00180D43" w:rsidP="00180D43"/>
    <w:p w14:paraId="04AE5AEB" w14:textId="77777777" w:rsidR="00180D43" w:rsidRDefault="00180D43" w:rsidP="00180D43">
      <w:pPr>
        <w:ind w:firstLineChars="200" w:firstLine="440"/>
      </w:pPr>
      <w:r>
        <w:rPr>
          <w:rFonts w:hint="eastAsia"/>
        </w:rPr>
        <w:t>为规范货币经纪公司提供数据服务，鼓励数据依法合理利用，确保数据安全，提升市场信息透明度，促进市场公平竞争，推动行业高质量发展，现将有关事项通知如下：</w:t>
      </w:r>
    </w:p>
    <w:p w14:paraId="2FE2A085" w14:textId="77777777" w:rsidR="00180D43" w:rsidRDefault="00180D43" w:rsidP="00180D43"/>
    <w:p w14:paraId="2434DC2B" w14:textId="77777777" w:rsidR="00180D43" w:rsidRPr="00180D43" w:rsidRDefault="00180D43" w:rsidP="00595B10">
      <w:pPr>
        <w:ind w:firstLineChars="200" w:firstLine="442"/>
        <w:rPr>
          <w:b/>
          <w:bCs/>
        </w:rPr>
      </w:pPr>
      <w:r w:rsidRPr="00180D43">
        <w:rPr>
          <w:rFonts w:hint="eastAsia"/>
          <w:b/>
          <w:bCs/>
        </w:rPr>
        <w:t>一、加强数据治理，确保数据安全</w:t>
      </w:r>
    </w:p>
    <w:p w14:paraId="1AEF2CE6" w14:textId="77777777" w:rsidR="00180D43" w:rsidRDefault="00180D43" w:rsidP="00595B10">
      <w:pPr>
        <w:ind w:firstLineChars="200" w:firstLine="440"/>
      </w:pPr>
    </w:p>
    <w:p w14:paraId="649A2DC6" w14:textId="77777777" w:rsidR="00180D43" w:rsidRDefault="00180D43" w:rsidP="00595B10">
      <w:pPr>
        <w:ind w:firstLineChars="200" w:firstLine="440"/>
      </w:pPr>
      <w:r>
        <w:rPr>
          <w:rFonts w:hint="eastAsia"/>
        </w:rPr>
        <w:t>（一）货币经纪公司进行数据处理、向市场提供数据服务，应当遵守法律法规和商业道德，尊重社会公德和伦理，履行数据安全保护义务，不得危害国家安全、金融安全和公共利益，不得损害金融机构的合法权益。</w:t>
      </w:r>
    </w:p>
    <w:p w14:paraId="09DAE3F1" w14:textId="77777777" w:rsidR="00180D43" w:rsidRDefault="00180D43" w:rsidP="00595B10">
      <w:pPr>
        <w:ind w:firstLineChars="200" w:firstLine="440"/>
      </w:pPr>
    </w:p>
    <w:p w14:paraId="2D675451" w14:textId="77777777" w:rsidR="00180D43" w:rsidRDefault="00180D43" w:rsidP="00595B10">
      <w:pPr>
        <w:ind w:firstLineChars="200" w:firstLine="440"/>
      </w:pPr>
      <w:r>
        <w:rPr>
          <w:rFonts w:hint="eastAsia"/>
        </w:rPr>
        <w:t>（二）货币经纪公司应当将数据治理纳入公司治理范畴，建立与业务发展目标相适应的数据安全治理体系，健全数据安全管理制度，加强经纪人员执业规范性管理，构建覆盖数据全生命周期和应用场景的安全保护机制，开展数据安全风险监测评估，保障数据服务安全稳健开展。</w:t>
      </w:r>
    </w:p>
    <w:p w14:paraId="701A7101" w14:textId="77777777" w:rsidR="00180D43" w:rsidRDefault="00180D43" w:rsidP="00595B10">
      <w:pPr>
        <w:ind w:firstLineChars="200" w:firstLine="440"/>
      </w:pPr>
    </w:p>
    <w:p w14:paraId="416E1B70" w14:textId="77777777" w:rsidR="00180D43" w:rsidRDefault="00180D43" w:rsidP="00595B10">
      <w:pPr>
        <w:ind w:firstLineChars="200" w:firstLine="440"/>
      </w:pPr>
      <w:r>
        <w:rPr>
          <w:rFonts w:hint="eastAsia"/>
        </w:rPr>
        <w:t>（三）货币经纪公司应严格落实信息科技监管要求，加强信息科技风险管理体系建设，提升信息科技外包风险管控能力，严格控制生产系统访问权限，加强数据安全保护，确保网络和数据安全。</w:t>
      </w:r>
    </w:p>
    <w:p w14:paraId="381F7D11" w14:textId="77777777" w:rsidR="00180D43" w:rsidRDefault="00180D43" w:rsidP="00595B10">
      <w:pPr>
        <w:ind w:firstLineChars="200" w:firstLine="440"/>
      </w:pPr>
    </w:p>
    <w:p w14:paraId="2B0DC5CD" w14:textId="77777777" w:rsidR="00180D43" w:rsidRPr="00180D43" w:rsidRDefault="00180D43" w:rsidP="00595B10">
      <w:pPr>
        <w:ind w:firstLineChars="200" w:firstLine="442"/>
        <w:rPr>
          <w:b/>
          <w:bCs/>
        </w:rPr>
      </w:pPr>
      <w:r w:rsidRPr="00180D43">
        <w:rPr>
          <w:rFonts w:hint="eastAsia"/>
          <w:b/>
          <w:bCs/>
        </w:rPr>
        <w:t>二、规范提供数据标准，提高数据服务质量</w:t>
      </w:r>
    </w:p>
    <w:p w14:paraId="4A6A0E08" w14:textId="77777777" w:rsidR="00180D43" w:rsidRDefault="00180D43" w:rsidP="00595B10">
      <w:pPr>
        <w:ind w:firstLineChars="200" w:firstLine="440"/>
      </w:pPr>
    </w:p>
    <w:p w14:paraId="61A92A76" w14:textId="77777777" w:rsidR="00180D43" w:rsidRDefault="00180D43" w:rsidP="00595B10">
      <w:pPr>
        <w:ind w:firstLineChars="200" w:firstLine="440"/>
      </w:pPr>
      <w:r>
        <w:rPr>
          <w:rFonts w:hint="eastAsia"/>
        </w:rPr>
        <w:t>（四）经交易机构授权同意后，货币经纪公司可向市场提供交易机构的报价数据和成交意向数据，数据标准应秉承“最小必须、保护客户隐私、促进信息共享”的原则，涉及能够识别交易双方主体的信息不得提供。向市场提供数据标准参考附件</w:t>
      </w:r>
      <w:r>
        <w:rPr>
          <w:rFonts w:hint="eastAsia"/>
        </w:rPr>
        <w:t>1</w:t>
      </w:r>
      <w:r>
        <w:rPr>
          <w:rFonts w:hint="eastAsia"/>
        </w:rPr>
        <w:t>，法律法规和监管另有规定的数据除外。</w:t>
      </w:r>
    </w:p>
    <w:p w14:paraId="31CEDDBD" w14:textId="77777777" w:rsidR="00180D43" w:rsidRDefault="00180D43" w:rsidP="00595B10">
      <w:pPr>
        <w:ind w:firstLineChars="200" w:firstLine="440"/>
      </w:pPr>
    </w:p>
    <w:p w14:paraId="681D7293" w14:textId="77777777" w:rsidR="00180D43" w:rsidRDefault="00180D43" w:rsidP="00595B10">
      <w:pPr>
        <w:ind w:firstLineChars="200" w:firstLine="440"/>
      </w:pPr>
      <w:r>
        <w:rPr>
          <w:rFonts w:hint="eastAsia"/>
        </w:rPr>
        <w:t>（五）货币经纪公司应加强对交易机构、交易员资质的审核，不得接受不符合银行间市场、交易所市场准入条件的机构和个人的报价，不得将其报价纳入数据服务范围。</w:t>
      </w:r>
    </w:p>
    <w:p w14:paraId="4CC16637" w14:textId="77777777" w:rsidR="00180D43" w:rsidRDefault="00180D43" w:rsidP="00595B10">
      <w:pPr>
        <w:ind w:firstLineChars="200" w:firstLine="440"/>
      </w:pPr>
    </w:p>
    <w:p w14:paraId="327B2CA4" w14:textId="77777777" w:rsidR="00180D43" w:rsidRDefault="00180D43" w:rsidP="00595B10">
      <w:pPr>
        <w:ind w:firstLineChars="200" w:firstLine="440"/>
      </w:pPr>
      <w:r>
        <w:rPr>
          <w:rFonts w:hint="eastAsia"/>
        </w:rPr>
        <w:t>（六）货币经纪公司发现交易机构的报价要素错误或明显背离市场行情的，应在发布报价前向交易机构进行确认，避免对外发布错误报价，减少异常数据对市场的影响。</w:t>
      </w:r>
    </w:p>
    <w:p w14:paraId="3A6C4F31" w14:textId="77777777" w:rsidR="00180D43" w:rsidRDefault="00180D43" w:rsidP="00595B10">
      <w:pPr>
        <w:ind w:firstLineChars="200" w:firstLine="440"/>
      </w:pPr>
    </w:p>
    <w:p w14:paraId="6826ECCE" w14:textId="77777777" w:rsidR="00180D43" w:rsidRDefault="00180D43" w:rsidP="00595B10">
      <w:pPr>
        <w:ind w:firstLineChars="200" w:firstLine="440"/>
      </w:pPr>
      <w:r>
        <w:rPr>
          <w:rFonts w:hint="eastAsia"/>
        </w:rPr>
        <w:lastRenderedPageBreak/>
        <w:t>（七）货币经纪公司应严格落实数据报备的监管要求，按规定向金融监管部门和有关自律组织报送相关业务数据。</w:t>
      </w:r>
    </w:p>
    <w:p w14:paraId="38578B27" w14:textId="77777777" w:rsidR="00180D43" w:rsidRDefault="00180D43" w:rsidP="00595B10">
      <w:pPr>
        <w:ind w:firstLineChars="200" w:firstLine="440"/>
      </w:pPr>
    </w:p>
    <w:p w14:paraId="11823BBA" w14:textId="77777777" w:rsidR="00180D43" w:rsidRPr="00180D43" w:rsidRDefault="00180D43" w:rsidP="00595B10">
      <w:pPr>
        <w:ind w:firstLineChars="200" w:firstLine="442"/>
        <w:rPr>
          <w:b/>
          <w:bCs/>
        </w:rPr>
      </w:pPr>
      <w:r w:rsidRPr="00180D43">
        <w:rPr>
          <w:rFonts w:hint="eastAsia"/>
          <w:b/>
          <w:bCs/>
        </w:rPr>
        <w:t>三、明确可接受数据服务的机构范围，加强合作管理</w:t>
      </w:r>
    </w:p>
    <w:p w14:paraId="4C39F8E8" w14:textId="77777777" w:rsidR="00180D43" w:rsidRDefault="00180D43" w:rsidP="00595B10">
      <w:pPr>
        <w:ind w:firstLineChars="200" w:firstLine="440"/>
      </w:pPr>
    </w:p>
    <w:p w14:paraId="670EA7CF" w14:textId="77777777" w:rsidR="00180D43" w:rsidRDefault="00180D43" w:rsidP="00595B10">
      <w:pPr>
        <w:ind w:firstLineChars="200" w:firstLine="440"/>
      </w:pPr>
      <w:r>
        <w:rPr>
          <w:rFonts w:hint="eastAsia"/>
        </w:rPr>
        <w:t>（八）金融监管部门商国家网信办确定可接受货币经纪公司数据服务的金融基础设施、金融信息服务商等机构名单（附件</w:t>
      </w:r>
      <w:r>
        <w:rPr>
          <w:rFonts w:hint="eastAsia"/>
        </w:rPr>
        <w:t>2</w:t>
      </w:r>
      <w:r>
        <w:rPr>
          <w:rFonts w:hint="eastAsia"/>
        </w:rPr>
        <w:t>），并根据实际情况对机构范围进行动态调整。</w:t>
      </w:r>
    </w:p>
    <w:p w14:paraId="38488DA3" w14:textId="77777777" w:rsidR="00180D43" w:rsidRDefault="00180D43" w:rsidP="00595B10">
      <w:pPr>
        <w:ind w:firstLineChars="200" w:firstLine="440"/>
      </w:pPr>
    </w:p>
    <w:p w14:paraId="526E6D19" w14:textId="77777777" w:rsidR="00180D43" w:rsidRDefault="00180D43" w:rsidP="00595B10">
      <w:pPr>
        <w:ind w:firstLineChars="200" w:firstLine="440"/>
      </w:pPr>
      <w:r>
        <w:rPr>
          <w:rFonts w:hint="eastAsia"/>
        </w:rPr>
        <w:t>（九）货币经纪公司按市场化原则与金融信息服务商等商业机构开展数据服务合作，对数据服务合作方建立并实施准入、评估和退出机制，确保其依法合规使用和管理数据。</w:t>
      </w:r>
    </w:p>
    <w:p w14:paraId="715C2B79" w14:textId="77777777" w:rsidR="00180D43" w:rsidRDefault="00180D43" w:rsidP="00595B10">
      <w:pPr>
        <w:ind w:firstLineChars="200" w:firstLine="440"/>
      </w:pPr>
    </w:p>
    <w:p w14:paraId="77FCC786" w14:textId="77777777" w:rsidR="00180D43" w:rsidRDefault="00180D43" w:rsidP="00595B10">
      <w:pPr>
        <w:ind w:firstLineChars="200" w:firstLine="440"/>
      </w:pPr>
      <w:r>
        <w:rPr>
          <w:rFonts w:hint="eastAsia"/>
        </w:rPr>
        <w:t>四、签订服务协议，规范数据使用</w:t>
      </w:r>
    </w:p>
    <w:p w14:paraId="377F6893" w14:textId="77777777" w:rsidR="00180D43" w:rsidRDefault="00180D43" w:rsidP="00595B10">
      <w:pPr>
        <w:ind w:firstLineChars="200" w:firstLine="440"/>
      </w:pPr>
    </w:p>
    <w:p w14:paraId="2DDBA3D9" w14:textId="77777777" w:rsidR="00180D43" w:rsidRDefault="00180D43" w:rsidP="00595B10">
      <w:pPr>
        <w:ind w:firstLineChars="200" w:firstLine="440"/>
      </w:pPr>
      <w:r>
        <w:rPr>
          <w:rFonts w:hint="eastAsia"/>
        </w:rPr>
        <w:t>（十）货币经纪公司应与金融基础设施、金融信息服务商等数据使用方签订协议，明确双方的权利义务，对数据安全、数据展示、加工使用、再次分发、服务费用等事项进行明确约定。协议框架参考附件</w:t>
      </w:r>
      <w:r>
        <w:rPr>
          <w:rFonts w:hint="eastAsia"/>
        </w:rPr>
        <w:t>3</w:t>
      </w:r>
      <w:r>
        <w:rPr>
          <w:rFonts w:hint="eastAsia"/>
        </w:rPr>
        <w:t>。</w:t>
      </w:r>
    </w:p>
    <w:p w14:paraId="5E298A81" w14:textId="77777777" w:rsidR="00180D43" w:rsidRDefault="00180D43" w:rsidP="00595B10">
      <w:pPr>
        <w:ind w:firstLineChars="200" w:firstLine="440"/>
      </w:pPr>
    </w:p>
    <w:p w14:paraId="7AB36C6C" w14:textId="77777777" w:rsidR="00180D43" w:rsidRDefault="00180D43" w:rsidP="00595B10">
      <w:pPr>
        <w:ind w:firstLineChars="200" w:firstLine="440"/>
      </w:pPr>
      <w:r>
        <w:rPr>
          <w:rFonts w:hint="eastAsia"/>
        </w:rPr>
        <w:t>（十一）对于金融信息服务商，以及将数据用于行情展示、增值服务等商业用途（不以盈利为目的、不向其服务对象收取费用的除外）的金融基础设施，货币经纪公司可按照商业化原则向其收取合理的数据服务费用，覆盖提供数据成本，促进市场公平交易。</w:t>
      </w:r>
    </w:p>
    <w:p w14:paraId="50536B36" w14:textId="77777777" w:rsidR="00180D43" w:rsidRDefault="00180D43" w:rsidP="00595B10">
      <w:pPr>
        <w:ind w:firstLineChars="200" w:firstLine="440"/>
      </w:pPr>
    </w:p>
    <w:p w14:paraId="2B44D9C0" w14:textId="77777777" w:rsidR="00180D43" w:rsidRDefault="00180D43" w:rsidP="00595B10">
      <w:pPr>
        <w:ind w:firstLineChars="200" w:firstLine="440"/>
      </w:pPr>
      <w:r>
        <w:rPr>
          <w:rFonts w:hint="eastAsia"/>
        </w:rPr>
        <w:t>（十二）金融监管部门加强对货币经纪公司数据服务的监督管理，对存在违反法律法规和本通知规定的，依法采取监管措施或者实施行政处罚。</w:t>
      </w:r>
    </w:p>
    <w:p w14:paraId="0B625A25" w14:textId="77777777" w:rsidR="00180D43" w:rsidRDefault="00180D43" w:rsidP="00595B10">
      <w:pPr>
        <w:ind w:firstLineChars="200" w:firstLine="440"/>
      </w:pPr>
    </w:p>
    <w:p w14:paraId="5728E42E" w14:textId="77777777" w:rsidR="00180D43" w:rsidRDefault="00180D43" w:rsidP="00595B10">
      <w:pPr>
        <w:ind w:firstLineChars="200" w:firstLine="440"/>
      </w:pPr>
      <w:r>
        <w:rPr>
          <w:rFonts w:hint="eastAsia"/>
        </w:rPr>
        <w:t>中国银行业协会、中国证券业协会、中国外汇交易中心、中国银行间市场交易商协会、沪深北证券交易所等根据相关规定对货币经纪公司数据服务进行自律管理。</w:t>
      </w:r>
    </w:p>
    <w:p w14:paraId="6B3545B8" w14:textId="77777777" w:rsidR="00180D43" w:rsidRDefault="00180D43" w:rsidP="00180D43"/>
    <w:p w14:paraId="75C086D2" w14:textId="6ACDC97E" w:rsidR="00180D43" w:rsidRDefault="00180D43" w:rsidP="00180D43">
      <w:pPr>
        <w:ind w:leftChars="200" w:left="440"/>
      </w:pPr>
      <w:r>
        <w:rPr>
          <w:rFonts w:hint="eastAsia"/>
        </w:rPr>
        <w:t>附件：</w:t>
      </w:r>
      <w:r>
        <w:rPr>
          <w:rFonts w:hint="eastAsia"/>
        </w:rPr>
        <w:t>1.</w:t>
      </w:r>
      <w:hyperlink r:id="rId6" w:history="1">
        <w:r w:rsidRPr="00DB0ECF">
          <w:rPr>
            <w:rStyle w:val="a5"/>
            <w:rFonts w:hint="eastAsia"/>
          </w:rPr>
          <w:t>货币经纪公司提供数据标准</w:t>
        </w:r>
      </w:hyperlink>
    </w:p>
    <w:p w14:paraId="24E3C4E2" w14:textId="606B3434" w:rsidR="00180D43" w:rsidRDefault="00180D43" w:rsidP="00180D43">
      <w:pPr>
        <w:ind w:leftChars="500" w:left="1100"/>
      </w:pPr>
      <w:r>
        <w:rPr>
          <w:rFonts w:hint="eastAsia"/>
        </w:rPr>
        <w:t>2.</w:t>
      </w:r>
      <w:hyperlink r:id="rId7" w:history="1">
        <w:r w:rsidRPr="00DB0ECF">
          <w:rPr>
            <w:rStyle w:val="a5"/>
            <w:rFonts w:hint="eastAsia"/>
          </w:rPr>
          <w:t>货币经纪公司可提供数据服务的机构名单</w:t>
        </w:r>
      </w:hyperlink>
    </w:p>
    <w:p w14:paraId="44A8908D" w14:textId="5B3600C5" w:rsidR="00180D43" w:rsidRDefault="00180D43" w:rsidP="00180D43">
      <w:pPr>
        <w:ind w:leftChars="500" w:left="1100"/>
      </w:pPr>
      <w:r>
        <w:rPr>
          <w:rFonts w:hint="eastAsia"/>
        </w:rPr>
        <w:t>3.</w:t>
      </w:r>
      <w:hyperlink r:id="rId8" w:history="1">
        <w:r w:rsidRPr="00DB0ECF">
          <w:rPr>
            <w:rStyle w:val="a5"/>
            <w:rFonts w:hint="eastAsia"/>
          </w:rPr>
          <w:t>货币经纪公司提供数据服务协议框架</w:t>
        </w:r>
        <w:r w:rsidR="00DB0ECF" w:rsidRPr="00DB0ECF">
          <w:rPr>
            <w:rStyle w:val="a5"/>
            <w:rFonts w:hint="eastAsia"/>
          </w:rPr>
          <w:t>（金融基础设施版）</w:t>
        </w:r>
      </w:hyperlink>
    </w:p>
    <w:p w14:paraId="19657392" w14:textId="58FE10EB" w:rsidR="00DB0ECF" w:rsidRDefault="00DB0ECF" w:rsidP="00180D43">
      <w:pPr>
        <w:ind w:leftChars="500" w:left="1100"/>
      </w:pPr>
      <w:r>
        <w:t>4</w:t>
      </w:r>
      <w:r>
        <w:rPr>
          <w:rFonts w:hint="eastAsia"/>
        </w:rPr>
        <w:t>.</w:t>
      </w:r>
      <w:hyperlink r:id="rId9" w:history="1">
        <w:r w:rsidRPr="00DB0ECF">
          <w:rPr>
            <w:rStyle w:val="a5"/>
            <w:rFonts w:hint="eastAsia"/>
          </w:rPr>
          <w:t>货币经纪公司提供数据服务协议框架（金融信息服务商版）</w:t>
        </w:r>
      </w:hyperlink>
    </w:p>
    <w:p w14:paraId="6365E1C6" w14:textId="77777777" w:rsidR="00180D43" w:rsidRPr="00DB0ECF" w:rsidRDefault="00180D43" w:rsidP="00180D43"/>
    <w:p w14:paraId="1F82601A" w14:textId="77777777" w:rsidR="00180D43" w:rsidRPr="00DB0ECF" w:rsidRDefault="00180D43" w:rsidP="00180D43"/>
    <w:p w14:paraId="3258CBA5" w14:textId="77777777" w:rsidR="00180D43" w:rsidRDefault="00180D43" w:rsidP="00180D43">
      <w:pPr>
        <w:jc w:val="right"/>
      </w:pPr>
      <w:r>
        <w:rPr>
          <w:rFonts w:hint="eastAsia"/>
        </w:rPr>
        <w:t>国家金融监督管理总局</w:t>
      </w:r>
    </w:p>
    <w:p w14:paraId="67AD86C8" w14:textId="5FD2BAE5" w:rsidR="00180D43" w:rsidRDefault="00180D43" w:rsidP="00180D43">
      <w:pPr>
        <w:jc w:val="right"/>
      </w:pPr>
      <w:r>
        <w:rPr>
          <w:rFonts w:hint="eastAsia"/>
        </w:rPr>
        <w:t>中国人民银行</w:t>
      </w:r>
    </w:p>
    <w:p w14:paraId="2CC4FDD5" w14:textId="732DC403" w:rsidR="00180D43" w:rsidRDefault="00180D43" w:rsidP="00180D43">
      <w:pPr>
        <w:jc w:val="right"/>
      </w:pPr>
      <w:r>
        <w:rPr>
          <w:rFonts w:hint="eastAsia"/>
        </w:rPr>
        <w:t>中国证券监督管理委员会</w:t>
      </w:r>
    </w:p>
    <w:p w14:paraId="7F3FFDC3" w14:textId="6775C9A0" w:rsidR="00180D43" w:rsidRDefault="00180D43" w:rsidP="00180D43">
      <w:pPr>
        <w:jc w:val="right"/>
      </w:pPr>
      <w:r>
        <w:rPr>
          <w:rFonts w:hint="eastAsia"/>
        </w:rPr>
        <w:t>国家互联网信息办公室</w:t>
      </w:r>
    </w:p>
    <w:p w14:paraId="59B927C1" w14:textId="77777777" w:rsidR="00180D43" w:rsidRDefault="00180D43" w:rsidP="00180D43">
      <w:pPr>
        <w:jc w:val="right"/>
      </w:pPr>
      <w:r>
        <w:rPr>
          <w:rFonts w:hint="eastAsia"/>
        </w:rPr>
        <w:t>国家外汇管理局</w:t>
      </w:r>
    </w:p>
    <w:p w14:paraId="4FC5F8F0" w14:textId="77777777" w:rsidR="00F45EEB" w:rsidRDefault="00180D43" w:rsidP="00180D43">
      <w:pPr>
        <w:jc w:val="right"/>
      </w:pPr>
      <w:r>
        <w:rPr>
          <w:rFonts w:hint="eastAsia"/>
        </w:rPr>
        <w:t>2023</w:t>
      </w:r>
      <w:r>
        <w:rPr>
          <w:rFonts w:hint="eastAsia"/>
        </w:rPr>
        <w:t>年</w:t>
      </w:r>
      <w:r>
        <w:rPr>
          <w:rFonts w:hint="eastAsia"/>
        </w:rPr>
        <w:t>8</w:t>
      </w:r>
      <w:r>
        <w:rPr>
          <w:rFonts w:hint="eastAsia"/>
        </w:rPr>
        <w:t>月</w:t>
      </w:r>
      <w:r>
        <w:rPr>
          <w:rFonts w:hint="eastAsia"/>
        </w:rPr>
        <w:t>25</w:t>
      </w:r>
      <w:r>
        <w:rPr>
          <w:rFonts w:hint="eastAsia"/>
        </w:rPr>
        <w:t>日</w:t>
      </w:r>
    </w:p>
    <w:p w14:paraId="585704A8" w14:textId="77777777" w:rsidR="00180D43" w:rsidRDefault="00180D43" w:rsidP="00180D43"/>
    <w:p w14:paraId="2F8DA167" w14:textId="77777777" w:rsidR="00180D43" w:rsidRPr="00180D43" w:rsidRDefault="00180D43" w:rsidP="00180D43"/>
    <w:p w14:paraId="5A39A362" w14:textId="77777777" w:rsidR="00180D43" w:rsidRDefault="00180D43" w:rsidP="00180D43">
      <w:r>
        <w:rPr>
          <w:rFonts w:hint="eastAsia"/>
        </w:rPr>
        <w:t>信息来源：</w:t>
      </w:r>
    </w:p>
    <w:p w14:paraId="36C6250B" w14:textId="4E6A5B56" w:rsidR="00180D43" w:rsidRDefault="00000000" w:rsidP="00180D43">
      <w:hyperlink r:id="rId10" w:history="1">
        <w:r w:rsidR="00180D43" w:rsidRPr="006912A0">
          <w:rPr>
            <w:rStyle w:val="a5"/>
          </w:rPr>
          <w:t>http://www.cbirc.gov.cn/cn/view/pages/governmentDetail.html?docId=1124968&amp;itemId=861&amp;generaltype=1</w:t>
        </w:r>
      </w:hyperlink>
    </w:p>
    <w:p w14:paraId="05DBAC33" w14:textId="77777777" w:rsidR="00180D43" w:rsidRPr="00180D43" w:rsidRDefault="00180D43" w:rsidP="00180D43"/>
    <w:sectPr w:rsidR="00180D43" w:rsidRPr="00180D43"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2ABA" w14:textId="77777777" w:rsidR="005D1E4D" w:rsidRDefault="005D1E4D" w:rsidP="00041084">
      <w:pPr>
        <w:spacing w:line="240" w:lineRule="auto"/>
      </w:pPr>
      <w:r>
        <w:separator/>
      </w:r>
    </w:p>
  </w:endnote>
  <w:endnote w:type="continuationSeparator" w:id="0">
    <w:p w14:paraId="3DC9EB60" w14:textId="77777777" w:rsidR="005D1E4D" w:rsidRDefault="005D1E4D" w:rsidP="00041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B217" w14:textId="77777777" w:rsidR="005D1E4D" w:rsidRDefault="005D1E4D" w:rsidP="00041084">
      <w:pPr>
        <w:spacing w:line="240" w:lineRule="auto"/>
      </w:pPr>
      <w:r>
        <w:separator/>
      </w:r>
    </w:p>
  </w:footnote>
  <w:footnote w:type="continuationSeparator" w:id="0">
    <w:p w14:paraId="06A24C5C" w14:textId="77777777" w:rsidR="005D1E4D" w:rsidRDefault="005D1E4D" w:rsidP="000410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0D43"/>
    <w:rsid w:val="00041084"/>
    <w:rsid w:val="00180D43"/>
    <w:rsid w:val="00233FC5"/>
    <w:rsid w:val="003504FE"/>
    <w:rsid w:val="004D031A"/>
    <w:rsid w:val="00595B10"/>
    <w:rsid w:val="005D1E4D"/>
    <w:rsid w:val="00B41EDF"/>
    <w:rsid w:val="00DB0ECF"/>
    <w:rsid w:val="00E01B94"/>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592D7"/>
  <w15:chartTrackingRefBased/>
  <w15:docId w15:val="{8DDAF8A0-AFE4-425B-9322-A7399BCF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paragraph" w:styleId="1">
    <w:name w:val="heading 1"/>
    <w:basedOn w:val="a"/>
    <w:next w:val="a"/>
    <w:link w:val="10"/>
    <w:autoRedefine/>
    <w:uiPriority w:val="9"/>
    <w:qFormat/>
    <w:rsid w:val="00E01B94"/>
    <w:pPr>
      <w:keepNext/>
      <w:keepLines/>
      <w:spacing w:line="240"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X">
    <w:name w:val="AX"/>
    <w:basedOn w:val="a"/>
    <w:autoRedefine/>
    <w:qFormat/>
    <w:rsid w:val="00233FC5"/>
    <w:pPr>
      <w:widowControl w:val="0"/>
      <w:overflowPunct w:val="0"/>
      <w:spacing w:line="280" w:lineRule="atLeast"/>
      <w:ind w:hangingChars="405" w:hanging="405"/>
    </w:pPr>
  </w:style>
  <w:style w:type="character" w:customStyle="1" w:styleId="10">
    <w:name w:val="标题 1 字符"/>
    <w:basedOn w:val="a0"/>
    <w:link w:val="1"/>
    <w:uiPriority w:val="9"/>
    <w:rsid w:val="00E01B94"/>
    <w:rPr>
      <w:b/>
      <w:bCs/>
      <w:kern w:val="44"/>
      <w:sz w:val="28"/>
      <w:szCs w:val="44"/>
    </w:rPr>
  </w:style>
  <w:style w:type="paragraph" w:styleId="a3">
    <w:name w:val="Date"/>
    <w:basedOn w:val="a"/>
    <w:next w:val="a"/>
    <w:link w:val="a4"/>
    <w:uiPriority w:val="99"/>
    <w:semiHidden/>
    <w:unhideWhenUsed/>
    <w:rsid w:val="00180D43"/>
    <w:pPr>
      <w:ind w:leftChars="2500" w:left="100"/>
    </w:pPr>
  </w:style>
  <w:style w:type="character" w:customStyle="1" w:styleId="a4">
    <w:name w:val="日期 字符"/>
    <w:basedOn w:val="a0"/>
    <w:link w:val="a3"/>
    <w:uiPriority w:val="99"/>
    <w:semiHidden/>
    <w:rsid w:val="00180D43"/>
  </w:style>
  <w:style w:type="character" w:styleId="a5">
    <w:name w:val="Hyperlink"/>
    <w:basedOn w:val="a0"/>
    <w:uiPriority w:val="99"/>
    <w:unhideWhenUsed/>
    <w:rsid w:val="00180D43"/>
    <w:rPr>
      <w:color w:val="0563C1" w:themeColor="hyperlink"/>
      <w:u w:val="single"/>
    </w:rPr>
  </w:style>
  <w:style w:type="character" w:styleId="a6">
    <w:name w:val="Unresolved Mention"/>
    <w:basedOn w:val="a0"/>
    <w:uiPriority w:val="99"/>
    <w:semiHidden/>
    <w:unhideWhenUsed/>
    <w:rsid w:val="00180D43"/>
    <w:rPr>
      <w:color w:val="605E5C"/>
      <w:shd w:val="clear" w:color="auto" w:fill="E1DFDD"/>
    </w:rPr>
  </w:style>
  <w:style w:type="paragraph" w:styleId="a7">
    <w:name w:val="header"/>
    <w:basedOn w:val="a"/>
    <w:link w:val="a8"/>
    <w:uiPriority w:val="99"/>
    <w:unhideWhenUsed/>
    <w:rsid w:val="00041084"/>
    <w:pP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041084"/>
    <w:rPr>
      <w:sz w:val="18"/>
      <w:szCs w:val="18"/>
    </w:rPr>
  </w:style>
  <w:style w:type="paragraph" w:styleId="a9">
    <w:name w:val="footer"/>
    <w:basedOn w:val="a"/>
    <w:link w:val="aa"/>
    <w:uiPriority w:val="99"/>
    <w:unhideWhenUsed/>
    <w:rsid w:val="00041084"/>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rsid w:val="00041084"/>
    <w:rPr>
      <w:sz w:val="18"/>
      <w:szCs w:val="18"/>
    </w:rPr>
  </w:style>
  <w:style w:type="paragraph" w:customStyle="1" w:styleId="AD">
    <w:name w:val="AD"/>
    <w:basedOn w:val="a"/>
    <w:rsid w:val="00041084"/>
    <w:pPr>
      <w:widowControl w:val="0"/>
      <w:overflowPunct w:val="0"/>
      <w:spacing w:line="2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713110">
      <w:bodyDiv w:val="1"/>
      <w:marLeft w:val="0"/>
      <w:marRight w:val="0"/>
      <w:marTop w:val="0"/>
      <w:marBottom w:val="0"/>
      <w:divBdr>
        <w:top w:val="none" w:sz="0" w:space="0" w:color="auto"/>
        <w:left w:val="none" w:sz="0" w:space="0" w:color="auto"/>
        <w:bottom w:val="none" w:sz="0" w:space="0" w:color="auto"/>
        <w:right w:val="none" w:sz="0" w:space="0" w:color="auto"/>
      </w:divBdr>
      <w:divsChild>
        <w:div w:id="141580240">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um.hhp.com.cn/newlaw/20230831003_03.doc" TargetMode="External"/><Relationship Id="rId3" Type="http://schemas.openxmlformats.org/officeDocument/2006/relationships/webSettings" Target="webSettings.xml"/><Relationship Id="rId7" Type="http://schemas.openxmlformats.org/officeDocument/2006/relationships/hyperlink" Target="https://centrum.hhp.com.cn/newlaw/20230831003_02.xl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ntrum.hhp.com.cn/newlaw/20230831003_01.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birc.gov.cn/cn/view/pages/governmentDetail.html?docId=1124968&amp;itemId=861&amp;generaltype=1" TargetMode="External"/><Relationship Id="rId4" Type="http://schemas.openxmlformats.org/officeDocument/2006/relationships/footnotes" Target="footnotes.xml"/><Relationship Id="rId9" Type="http://schemas.openxmlformats.org/officeDocument/2006/relationships/hyperlink" Target="https://centrum.hhp.com.cn/newlaw/20230831003_0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dc:creator>
  <cp:keywords/>
  <dc:description/>
  <cp:lastModifiedBy>Yanlu Shen</cp:lastModifiedBy>
  <cp:revision>4</cp:revision>
  <dcterms:created xsi:type="dcterms:W3CDTF">2023-09-01T02:41:00Z</dcterms:created>
  <dcterms:modified xsi:type="dcterms:W3CDTF">2023-09-01T06:31:00Z</dcterms:modified>
</cp:coreProperties>
</file>