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B68C" w14:textId="77777777" w:rsidR="006E3E8B" w:rsidRPr="00341AEC" w:rsidRDefault="006E3E8B" w:rsidP="00406E3E">
      <w:pPr>
        <w:jc w:val="center"/>
        <w:rPr>
          <w:b/>
          <w:bCs/>
          <w:color w:val="E36C0A"/>
          <w:sz w:val="32"/>
          <w:szCs w:val="32"/>
        </w:rPr>
      </w:pPr>
      <w:r w:rsidRPr="00341AEC">
        <w:rPr>
          <w:rFonts w:hint="eastAsia"/>
          <w:b/>
          <w:bCs/>
          <w:color w:val="E36C0A"/>
          <w:sz w:val="32"/>
          <w:szCs w:val="32"/>
        </w:rPr>
        <w:t>关于印发《上海市药品现代物流指导意见》的通知</w:t>
      </w:r>
    </w:p>
    <w:p w14:paraId="6A8CF000" w14:textId="77777777" w:rsidR="006E3E8B" w:rsidRDefault="006E3E8B" w:rsidP="00406E3E">
      <w:pPr>
        <w:jc w:val="center"/>
      </w:pPr>
      <w:proofErr w:type="gramStart"/>
      <w:r>
        <w:rPr>
          <w:rFonts w:hint="eastAsia"/>
        </w:rPr>
        <w:t>沪药监规</w:t>
      </w:r>
      <w:proofErr w:type="gramEnd"/>
      <w:r>
        <w:rPr>
          <w:rFonts w:hint="eastAsia"/>
        </w:rPr>
        <w:t>〔</w:t>
      </w:r>
      <w:r>
        <w:rPr>
          <w:rFonts w:hint="eastAsia"/>
        </w:rPr>
        <w:t>2023</w:t>
      </w:r>
      <w:r>
        <w:rPr>
          <w:rFonts w:hint="eastAsia"/>
        </w:rPr>
        <w:t>〕</w:t>
      </w:r>
      <w:r>
        <w:rPr>
          <w:rFonts w:hint="eastAsia"/>
        </w:rPr>
        <w:t>1</w:t>
      </w:r>
      <w:r>
        <w:rPr>
          <w:rFonts w:hint="eastAsia"/>
        </w:rPr>
        <w:t>号</w:t>
      </w:r>
    </w:p>
    <w:p w14:paraId="3BE0135B" w14:textId="77777777" w:rsidR="006E3E8B" w:rsidRDefault="006E3E8B" w:rsidP="00406E3E"/>
    <w:p w14:paraId="1E535E5B" w14:textId="77777777" w:rsidR="006E3E8B" w:rsidRDefault="006E3E8B" w:rsidP="00406E3E">
      <w:r>
        <w:rPr>
          <w:rFonts w:hint="eastAsia"/>
        </w:rPr>
        <w:t>各区市场监督管理局、临港新片区市场监督管理局，市药品监督管理局机关各处、稽查局、</w:t>
      </w:r>
      <w:proofErr w:type="gramStart"/>
      <w:r>
        <w:rPr>
          <w:rFonts w:hint="eastAsia"/>
        </w:rPr>
        <w:t>药审中心</w:t>
      </w:r>
      <w:proofErr w:type="gramEnd"/>
      <w:r>
        <w:rPr>
          <w:rFonts w:hint="eastAsia"/>
        </w:rPr>
        <w:t>：</w:t>
      </w:r>
    </w:p>
    <w:p w14:paraId="7F5789CB" w14:textId="77777777" w:rsidR="006E3E8B" w:rsidRDefault="006E3E8B" w:rsidP="00406E3E"/>
    <w:p w14:paraId="5C4E2E8D" w14:textId="77777777" w:rsidR="006E3E8B" w:rsidRDefault="006E3E8B" w:rsidP="00406E3E">
      <w:pPr>
        <w:ind w:firstLineChars="200" w:firstLine="440"/>
      </w:pPr>
      <w:r>
        <w:rPr>
          <w:rFonts w:hint="eastAsia"/>
        </w:rPr>
        <w:t>《上海市药品现代物流指导意见》已经市药品监督管理局</w:t>
      </w:r>
      <w:r>
        <w:rPr>
          <w:rFonts w:hint="eastAsia"/>
        </w:rPr>
        <w:t>2023</w:t>
      </w:r>
      <w:r>
        <w:rPr>
          <w:rFonts w:hint="eastAsia"/>
        </w:rPr>
        <w:t>年</w:t>
      </w:r>
      <w:r>
        <w:rPr>
          <w:rFonts w:hint="eastAsia"/>
        </w:rPr>
        <w:t>3</w:t>
      </w:r>
      <w:r>
        <w:rPr>
          <w:rFonts w:hint="eastAsia"/>
        </w:rPr>
        <w:t>月</w:t>
      </w:r>
      <w:r>
        <w:rPr>
          <w:rFonts w:hint="eastAsia"/>
        </w:rPr>
        <w:t>23</w:t>
      </w:r>
      <w:r>
        <w:rPr>
          <w:rFonts w:hint="eastAsia"/>
        </w:rPr>
        <w:t>日第</w:t>
      </w:r>
      <w:r>
        <w:rPr>
          <w:rFonts w:hint="eastAsia"/>
        </w:rPr>
        <w:t>6</w:t>
      </w:r>
      <w:r>
        <w:rPr>
          <w:rFonts w:hint="eastAsia"/>
        </w:rPr>
        <w:t>次局长办公会审议通过，现印发给你们，请遵照执行。</w:t>
      </w:r>
    </w:p>
    <w:p w14:paraId="3E5CB02A" w14:textId="77777777" w:rsidR="006E3E8B" w:rsidRDefault="006E3E8B" w:rsidP="00406E3E"/>
    <w:p w14:paraId="04DF060A" w14:textId="77777777" w:rsidR="006E3E8B" w:rsidRDefault="006E3E8B" w:rsidP="00406E3E">
      <w:r>
        <w:rPr>
          <w:rFonts w:hint="eastAsia"/>
        </w:rPr>
        <w:t>特此通知。</w:t>
      </w:r>
    </w:p>
    <w:p w14:paraId="7AF76BBF" w14:textId="77777777" w:rsidR="006E3E8B" w:rsidRDefault="006E3E8B" w:rsidP="00406E3E"/>
    <w:p w14:paraId="00ED6E7C" w14:textId="77777777" w:rsidR="006E3E8B" w:rsidRDefault="006E3E8B" w:rsidP="00406E3E">
      <w:pPr>
        <w:jc w:val="right"/>
      </w:pPr>
      <w:r>
        <w:rPr>
          <w:rFonts w:hint="eastAsia"/>
        </w:rPr>
        <w:t>上海市药品监督管理局</w:t>
      </w:r>
    </w:p>
    <w:p w14:paraId="2FB43455" w14:textId="77777777" w:rsidR="006E3E8B" w:rsidRDefault="006E3E8B" w:rsidP="00406E3E">
      <w:pPr>
        <w:jc w:val="right"/>
      </w:pPr>
      <w:r>
        <w:rPr>
          <w:rFonts w:hint="eastAsia"/>
        </w:rPr>
        <w:t>2023</w:t>
      </w:r>
      <w:r>
        <w:rPr>
          <w:rFonts w:hint="eastAsia"/>
        </w:rPr>
        <w:t>年</w:t>
      </w:r>
      <w:r>
        <w:rPr>
          <w:rFonts w:hint="eastAsia"/>
        </w:rPr>
        <w:t>4</w:t>
      </w:r>
      <w:r>
        <w:rPr>
          <w:rFonts w:hint="eastAsia"/>
        </w:rPr>
        <w:t>月</w:t>
      </w:r>
      <w:r>
        <w:rPr>
          <w:rFonts w:hint="eastAsia"/>
        </w:rPr>
        <w:t>6</w:t>
      </w:r>
      <w:r>
        <w:rPr>
          <w:rFonts w:hint="eastAsia"/>
        </w:rPr>
        <w:t>日</w:t>
      </w:r>
    </w:p>
    <w:p w14:paraId="2F487DF1" w14:textId="77777777" w:rsidR="006E3E8B" w:rsidRDefault="006E3E8B" w:rsidP="00406E3E"/>
    <w:p w14:paraId="7A476EF0" w14:textId="77777777" w:rsidR="00341AEC" w:rsidRDefault="00341AEC" w:rsidP="00406E3E"/>
    <w:p w14:paraId="55295821" w14:textId="77777777" w:rsidR="006E3E8B" w:rsidRPr="00341AEC" w:rsidRDefault="006E3E8B" w:rsidP="00406E3E">
      <w:pPr>
        <w:jc w:val="center"/>
        <w:rPr>
          <w:b/>
          <w:bCs/>
          <w:color w:val="E36C0A"/>
          <w:sz w:val="28"/>
          <w:szCs w:val="28"/>
        </w:rPr>
      </w:pPr>
      <w:r w:rsidRPr="00341AEC">
        <w:rPr>
          <w:rFonts w:hint="eastAsia"/>
          <w:b/>
          <w:bCs/>
          <w:color w:val="E36C0A"/>
          <w:sz w:val="28"/>
          <w:szCs w:val="28"/>
        </w:rPr>
        <w:t>上海市药品现代物流指导意见</w:t>
      </w:r>
    </w:p>
    <w:p w14:paraId="2E26CAE9" w14:textId="77777777" w:rsidR="006E3E8B" w:rsidRDefault="006E3E8B" w:rsidP="00406E3E"/>
    <w:p w14:paraId="2143116E" w14:textId="77777777" w:rsidR="006E3E8B" w:rsidRDefault="006E3E8B" w:rsidP="00406E3E">
      <w:pPr>
        <w:jc w:val="cente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14:paraId="25007910" w14:textId="77777777" w:rsidR="006E3E8B" w:rsidRDefault="006E3E8B" w:rsidP="00406E3E"/>
    <w:p w14:paraId="1E3114F6" w14:textId="77777777" w:rsidR="006E3E8B" w:rsidRDefault="006E3E8B" w:rsidP="00406E3E">
      <w:r>
        <w:rPr>
          <w:rFonts w:hint="eastAsia"/>
        </w:rPr>
        <w:t>第一条【目的和依据】为加快上海市药品现代物流发展，优化资源配置，促进药品经营企业规模化、规范化发展，形成高效专业的药品现代物流体系，确保药品供应保障和流通环节药品质量，根据《中华人民共和国药品管理法》《中华人民共和国疫苗管理法》和《药品经营质量管理规范》等法律法规规章，结合本市实际，制订本意见。</w:t>
      </w:r>
    </w:p>
    <w:p w14:paraId="5BFDD30B" w14:textId="77777777" w:rsidR="006E3E8B" w:rsidRDefault="006E3E8B" w:rsidP="00406E3E"/>
    <w:p w14:paraId="3396373F" w14:textId="77777777" w:rsidR="006E3E8B" w:rsidRDefault="006E3E8B" w:rsidP="00406E3E">
      <w:r>
        <w:rPr>
          <w:rFonts w:hint="eastAsia"/>
        </w:rPr>
        <w:t>第二条【适用范围】本市新开办的药品批发企业和开展受托储存、运输药品业务的药品批发企业，应当符合本意见要求。</w:t>
      </w:r>
    </w:p>
    <w:p w14:paraId="24D23518" w14:textId="77777777" w:rsidR="006E3E8B" w:rsidRDefault="006E3E8B" w:rsidP="00406E3E"/>
    <w:p w14:paraId="2F4B9EF4" w14:textId="77777777" w:rsidR="006E3E8B" w:rsidRDefault="006E3E8B" w:rsidP="00406E3E">
      <w:r>
        <w:rPr>
          <w:rFonts w:hint="eastAsia"/>
        </w:rPr>
        <w:t>从事药品批发活动的境外药品上市许可持有人境内授权代理人委托储存、运输的，受托的药品经营企业应当符合本意</w:t>
      </w:r>
      <w:proofErr w:type="gramStart"/>
      <w:r>
        <w:rPr>
          <w:rFonts w:hint="eastAsia"/>
        </w:rPr>
        <w:t>见关于</w:t>
      </w:r>
      <w:proofErr w:type="gramEnd"/>
      <w:r>
        <w:rPr>
          <w:rFonts w:hint="eastAsia"/>
        </w:rPr>
        <w:t>受托储存、运输药品的要求。</w:t>
      </w:r>
    </w:p>
    <w:p w14:paraId="031DCA31" w14:textId="77777777" w:rsidR="006E3E8B" w:rsidRDefault="006E3E8B" w:rsidP="00406E3E"/>
    <w:p w14:paraId="28E25B38" w14:textId="77777777" w:rsidR="006E3E8B" w:rsidRDefault="006E3E8B" w:rsidP="00406E3E">
      <w:r>
        <w:rPr>
          <w:rFonts w:hint="eastAsia"/>
        </w:rPr>
        <w:t>鼓励本市已开办的药品批发企业逐步实现本意</w:t>
      </w:r>
      <w:proofErr w:type="gramStart"/>
      <w:r>
        <w:rPr>
          <w:rFonts w:hint="eastAsia"/>
        </w:rPr>
        <w:t>见规定</w:t>
      </w:r>
      <w:proofErr w:type="gramEnd"/>
      <w:r>
        <w:rPr>
          <w:rFonts w:hint="eastAsia"/>
        </w:rPr>
        <w:t>的药品现代物流要求。</w:t>
      </w:r>
    </w:p>
    <w:p w14:paraId="0ED24DA3" w14:textId="77777777" w:rsidR="006E3E8B" w:rsidRDefault="006E3E8B" w:rsidP="00406E3E"/>
    <w:p w14:paraId="34F92BF9" w14:textId="77777777" w:rsidR="006E3E8B" w:rsidRDefault="006E3E8B" w:rsidP="00406E3E">
      <w:r>
        <w:rPr>
          <w:rFonts w:hint="eastAsia"/>
        </w:rPr>
        <w:t>第三条【鼓励发展药品现代物流】鼓励药品批发企业配备适合药品储存和实现药品入库验收、传送（分拣）、上架、出库装置等设施设备和独立的计算机信息化管理的物流系统，覆盖企业药品的购进、储存运输、销售各环节经营管理全过程的质量控制和信息追溯，通过降低药品物流运营成本，提高服务能力和水平，实现药品物流管理和作业的规模化、集约化、规范化、信息化、智能化。</w:t>
      </w:r>
      <w:r>
        <w:rPr>
          <w:rFonts w:hint="eastAsia"/>
        </w:rPr>
        <w:t xml:space="preserve">   </w:t>
      </w:r>
    </w:p>
    <w:p w14:paraId="5618CD6B" w14:textId="77777777" w:rsidR="006E3E8B" w:rsidRDefault="006E3E8B" w:rsidP="00406E3E"/>
    <w:p w14:paraId="108D532C" w14:textId="77777777" w:rsidR="006E3E8B" w:rsidRDefault="006E3E8B" w:rsidP="00406E3E">
      <w:r>
        <w:rPr>
          <w:rFonts w:hint="eastAsia"/>
        </w:rPr>
        <w:lastRenderedPageBreak/>
        <w:t>第四条【药品追溯责任】新开办的药品批发企业和开展受托储存、运输药品业务的药品批发企业应当按照国家药品监督管理局制定的统一药品追溯标准和规范，建立并实施药品追溯制度，配合上市许可持有人落实药品追溯主体责任。确保经营的药品来源可查，去向可追，责任可究。</w:t>
      </w:r>
    </w:p>
    <w:p w14:paraId="18BC7589" w14:textId="77777777" w:rsidR="006E3E8B" w:rsidRDefault="006E3E8B" w:rsidP="00406E3E"/>
    <w:p w14:paraId="10F5C53D" w14:textId="77777777" w:rsidR="006E3E8B" w:rsidRDefault="006E3E8B" w:rsidP="00406E3E">
      <w:pPr>
        <w:jc w:val="center"/>
      </w:pPr>
      <w:r>
        <w:rPr>
          <w:rFonts w:hint="eastAsia"/>
        </w:rPr>
        <w:t>第二章　机构与人员</w:t>
      </w:r>
    </w:p>
    <w:p w14:paraId="3F9C7F0A" w14:textId="77777777" w:rsidR="006E3E8B" w:rsidRDefault="006E3E8B" w:rsidP="00406E3E"/>
    <w:p w14:paraId="71C28037" w14:textId="77777777" w:rsidR="006E3E8B" w:rsidRDefault="006E3E8B" w:rsidP="00406E3E">
      <w:r>
        <w:rPr>
          <w:rFonts w:hint="eastAsia"/>
        </w:rPr>
        <w:t>第五条【机构人员总体要求】新开办的药品批发企业（以下简称企业）应当设置与其业务相适应的质量管理、验收养护、物流管理、信息管理等机构或人员，建立完整的符合《药品经营质量管理规范》的管理体系，质量负责人应当充分行使质量管理职能，在企业内部对药品质量具有裁决权，保证药品经营全过程持续符合法定要求。</w:t>
      </w:r>
    </w:p>
    <w:p w14:paraId="4DBDB929" w14:textId="77777777" w:rsidR="006E3E8B" w:rsidRDefault="006E3E8B" w:rsidP="00406E3E"/>
    <w:p w14:paraId="02754B6A" w14:textId="77777777" w:rsidR="006E3E8B" w:rsidRDefault="006E3E8B" w:rsidP="00406E3E">
      <w:r>
        <w:rPr>
          <w:rFonts w:hint="eastAsia"/>
        </w:rPr>
        <w:t>第六条【主要管理人员从业规定】企业的法定代表人、主要负责人对本企业的药品经营活动全面负责。企业法定代表人、主要负责人和从事药品经营和质量管理工作的人员应当符合《药品经营质量管理规范》规定的资格要求，不得有《中华人民共和国药品管理法》《中华人民共和国疫苗管理法》规定的禁止从事药品生产经营活动的情形。</w:t>
      </w:r>
    </w:p>
    <w:p w14:paraId="68DADC19" w14:textId="77777777" w:rsidR="006E3E8B" w:rsidRDefault="006E3E8B" w:rsidP="00406E3E"/>
    <w:p w14:paraId="2F3AACF0" w14:textId="77777777" w:rsidR="006E3E8B" w:rsidRDefault="006E3E8B" w:rsidP="00406E3E">
      <w:r>
        <w:rPr>
          <w:rFonts w:hint="eastAsia"/>
        </w:rPr>
        <w:t>第七条【人员要求】企业法定代表人、企业负责人、药品质量负责人、质量部门负责人及其他从事药品经营管理的工作人员应当符合《药品经营质量管理规范》，以及下列要求：</w:t>
      </w:r>
    </w:p>
    <w:p w14:paraId="79093559" w14:textId="77777777" w:rsidR="006E3E8B" w:rsidRDefault="006E3E8B" w:rsidP="00406E3E"/>
    <w:p w14:paraId="71508014" w14:textId="77777777" w:rsidR="006E3E8B" w:rsidRDefault="006E3E8B" w:rsidP="00406E3E">
      <w:r>
        <w:rPr>
          <w:rFonts w:hint="eastAsia"/>
        </w:rPr>
        <w:t>（一）企业负责人应当具有大学专科以上学历或者中级以上专业技术职称，经过基本的药学专业知识培训，熟悉有关药品管理的法律法规及本意见；</w:t>
      </w:r>
    </w:p>
    <w:p w14:paraId="384E7D12" w14:textId="77777777" w:rsidR="006E3E8B" w:rsidRDefault="006E3E8B" w:rsidP="00406E3E"/>
    <w:p w14:paraId="3620F47B" w14:textId="77777777" w:rsidR="006E3E8B" w:rsidRDefault="006E3E8B" w:rsidP="00406E3E">
      <w:r>
        <w:rPr>
          <w:rFonts w:hint="eastAsia"/>
        </w:rPr>
        <w:t>（二）药品质量负责人应当具有大学本科以上学历、执业药师资格和</w:t>
      </w:r>
      <w:r>
        <w:rPr>
          <w:rFonts w:hint="eastAsia"/>
        </w:rPr>
        <w:t>3</w:t>
      </w:r>
      <w:r>
        <w:rPr>
          <w:rFonts w:hint="eastAsia"/>
        </w:rPr>
        <w:t>年以上药品经营质量管理工作经历，在质量管理工作中具备正确判断和保障实施的能力；</w:t>
      </w:r>
    </w:p>
    <w:p w14:paraId="294FDD77" w14:textId="77777777" w:rsidR="006E3E8B" w:rsidRDefault="006E3E8B" w:rsidP="00406E3E"/>
    <w:p w14:paraId="77EFDC58" w14:textId="77777777" w:rsidR="006E3E8B" w:rsidRDefault="006E3E8B" w:rsidP="00406E3E">
      <w:r>
        <w:rPr>
          <w:rFonts w:hint="eastAsia"/>
        </w:rPr>
        <w:t>（三）质量部门负责人应当具有执业药师资格和</w:t>
      </w:r>
      <w:r>
        <w:rPr>
          <w:rFonts w:hint="eastAsia"/>
        </w:rPr>
        <w:t>3</w:t>
      </w:r>
      <w:r>
        <w:rPr>
          <w:rFonts w:hint="eastAsia"/>
        </w:rPr>
        <w:t>年以上药品经营质量管理工作经历，能独立解决经营过程中的质量问题；</w:t>
      </w:r>
    </w:p>
    <w:p w14:paraId="47E50C10" w14:textId="77777777" w:rsidR="006E3E8B" w:rsidRDefault="006E3E8B" w:rsidP="00406E3E"/>
    <w:p w14:paraId="390C9176" w14:textId="77777777" w:rsidR="006E3E8B" w:rsidRDefault="006E3E8B" w:rsidP="00406E3E">
      <w:r>
        <w:rPr>
          <w:rFonts w:hint="eastAsia"/>
        </w:rPr>
        <w:t>（四）企业应当对各岗位人员进行与其职责和工作内容相关的岗前培训和继续培训，熟悉《药品管理法》《药品管理法实施条例》等法律法规规章的要求，熟悉药品知识，掌握相应专业技术，符合岗位技能要求；</w:t>
      </w:r>
    </w:p>
    <w:p w14:paraId="323538EE" w14:textId="77777777" w:rsidR="006E3E8B" w:rsidRDefault="006E3E8B" w:rsidP="00406E3E"/>
    <w:p w14:paraId="3ED5CCDD" w14:textId="77777777" w:rsidR="006E3E8B" w:rsidRDefault="006E3E8B" w:rsidP="00406E3E">
      <w:r>
        <w:rPr>
          <w:rFonts w:hint="eastAsia"/>
        </w:rPr>
        <w:t>（五）企业应组织质量管理、验收、养护、储存等直接接触药品岗位的人员进行岗前及年度健康检查，并建立健康档案。</w:t>
      </w:r>
    </w:p>
    <w:p w14:paraId="2B21224A" w14:textId="77777777" w:rsidR="006E3E8B" w:rsidRDefault="006E3E8B" w:rsidP="00406E3E"/>
    <w:p w14:paraId="312D28DB" w14:textId="77777777" w:rsidR="006E3E8B" w:rsidRDefault="006E3E8B" w:rsidP="00406E3E">
      <w:pPr>
        <w:jc w:val="center"/>
      </w:pPr>
      <w:r>
        <w:rPr>
          <w:rFonts w:hint="eastAsia"/>
        </w:rPr>
        <w:t>第三章　设施与设备</w:t>
      </w:r>
    </w:p>
    <w:p w14:paraId="2C852756" w14:textId="77777777" w:rsidR="006E3E8B" w:rsidRDefault="006E3E8B" w:rsidP="00406E3E"/>
    <w:p w14:paraId="0B42D68D" w14:textId="77777777" w:rsidR="006E3E8B" w:rsidRDefault="006E3E8B" w:rsidP="00406E3E">
      <w:r>
        <w:rPr>
          <w:rFonts w:hint="eastAsia"/>
        </w:rPr>
        <w:lastRenderedPageBreak/>
        <w:t>第八条【设施设备总体要求】企业应当具有符合《药品经营质量管理规范》要求，且与经营范围和药品物流规模相适应的仓储库房、设备及运输车辆，并按要求开展验证和校准，具备承接药品现代物流业务的储存、配送能力。</w:t>
      </w:r>
    </w:p>
    <w:p w14:paraId="1E2D9D91" w14:textId="77777777" w:rsidR="006E3E8B" w:rsidRDefault="006E3E8B" w:rsidP="00406E3E"/>
    <w:p w14:paraId="57027BF2" w14:textId="77777777" w:rsidR="006E3E8B" w:rsidRDefault="006E3E8B" w:rsidP="00406E3E">
      <w:r>
        <w:rPr>
          <w:rFonts w:hint="eastAsia"/>
        </w:rPr>
        <w:t>第九条【仓储设施】企业仓储应当能满足物流规模和作业流程的需要，按照需要设置符合药品质量管理和物流操作的功能区域，具体要求如下：</w:t>
      </w:r>
    </w:p>
    <w:p w14:paraId="1559DC91" w14:textId="77777777" w:rsidR="006E3E8B" w:rsidRDefault="006E3E8B" w:rsidP="00406E3E"/>
    <w:p w14:paraId="336F5E80" w14:textId="77777777" w:rsidR="006E3E8B" w:rsidRDefault="006E3E8B" w:rsidP="00406E3E">
      <w:r>
        <w:rPr>
          <w:rFonts w:hint="eastAsia"/>
        </w:rPr>
        <w:t>（一）企业有与药品物流规模相适应的储存条件，仓库储存</w:t>
      </w:r>
      <w:proofErr w:type="gramStart"/>
      <w:r>
        <w:rPr>
          <w:rFonts w:hint="eastAsia"/>
        </w:rPr>
        <w:t>区整体</w:t>
      </w:r>
      <w:proofErr w:type="gramEnd"/>
      <w:r>
        <w:rPr>
          <w:rFonts w:hint="eastAsia"/>
        </w:rPr>
        <w:t>建筑面积不少于</w:t>
      </w:r>
      <w:r>
        <w:rPr>
          <w:rFonts w:hint="eastAsia"/>
        </w:rPr>
        <w:t>10000</w:t>
      </w:r>
      <w:r>
        <w:rPr>
          <w:rFonts w:hint="eastAsia"/>
        </w:rPr>
        <w:t>平方米或容积不少于</w:t>
      </w:r>
      <w:r>
        <w:rPr>
          <w:rFonts w:hint="eastAsia"/>
        </w:rPr>
        <w:t>50000</w:t>
      </w:r>
      <w:r>
        <w:rPr>
          <w:rFonts w:hint="eastAsia"/>
        </w:rPr>
        <w:t>立方米。其中整件储存区应当设有自动化仓库，容积不得少于</w:t>
      </w:r>
      <w:r>
        <w:rPr>
          <w:rFonts w:hint="eastAsia"/>
        </w:rPr>
        <w:t>25000</w:t>
      </w:r>
      <w:r>
        <w:rPr>
          <w:rFonts w:hint="eastAsia"/>
        </w:rPr>
        <w:t>立方米。专营生物制品的，其仓库整体建筑面积不少于</w:t>
      </w:r>
      <w:r>
        <w:rPr>
          <w:rFonts w:hint="eastAsia"/>
        </w:rPr>
        <w:t>3000</w:t>
      </w:r>
      <w:r>
        <w:rPr>
          <w:rFonts w:hint="eastAsia"/>
        </w:rPr>
        <w:t>平方米或容积不少于</w:t>
      </w:r>
      <w:r>
        <w:rPr>
          <w:rFonts w:hint="eastAsia"/>
        </w:rPr>
        <w:t>10000</w:t>
      </w:r>
      <w:r>
        <w:rPr>
          <w:rFonts w:hint="eastAsia"/>
        </w:rPr>
        <w:t>立方米。专营药品类体外诊断试剂的，仓库建筑面积不少于</w:t>
      </w:r>
      <w:r>
        <w:rPr>
          <w:rFonts w:hint="eastAsia"/>
        </w:rPr>
        <w:t>60</w:t>
      </w:r>
      <w:r>
        <w:rPr>
          <w:rFonts w:hint="eastAsia"/>
        </w:rPr>
        <w:t>平方米。</w:t>
      </w:r>
    </w:p>
    <w:p w14:paraId="52891457" w14:textId="77777777" w:rsidR="006E3E8B" w:rsidRDefault="006E3E8B" w:rsidP="00406E3E"/>
    <w:p w14:paraId="6FDE1E27" w14:textId="77777777" w:rsidR="006E3E8B" w:rsidRDefault="006E3E8B" w:rsidP="00406E3E">
      <w:r>
        <w:rPr>
          <w:rFonts w:hint="eastAsia"/>
        </w:rPr>
        <w:t>（二）仓库按药品储存要求，可分为常温库、</w:t>
      </w:r>
      <w:proofErr w:type="gramStart"/>
      <w:r>
        <w:rPr>
          <w:rFonts w:hint="eastAsia"/>
        </w:rPr>
        <w:t>阴凉库</w:t>
      </w:r>
      <w:proofErr w:type="gramEnd"/>
      <w:r>
        <w:rPr>
          <w:rFonts w:hint="eastAsia"/>
        </w:rPr>
        <w:t>和冷库等库区。其中常温库以外的温控库面积应当达到</w:t>
      </w:r>
      <w:r>
        <w:rPr>
          <w:rFonts w:hint="eastAsia"/>
        </w:rPr>
        <w:t>50%</w:t>
      </w:r>
      <w:r>
        <w:rPr>
          <w:rFonts w:hint="eastAsia"/>
        </w:rPr>
        <w:t>以上。开展冷链药品物流业务的，应当配备</w:t>
      </w:r>
      <w:r>
        <w:rPr>
          <w:rFonts w:hint="eastAsia"/>
        </w:rPr>
        <w:t>2</w:t>
      </w:r>
      <w:r>
        <w:rPr>
          <w:rFonts w:hint="eastAsia"/>
        </w:rPr>
        <w:t>个（含</w:t>
      </w:r>
      <w:r>
        <w:rPr>
          <w:rFonts w:hint="eastAsia"/>
        </w:rPr>
        <w:t>2</w:t>
      </w:r>
      <w:r>
        <w:rPr>
          <w:rFonts w:hint="eastAsia"/>
        </w:rPr>
        <w:t>个）以上独立冷库（柜），总容积不少于</w:t>
      </w:r>
      <w:r>
        <w:rPr>
          <w:rFonts w:hint="eastAsia"/>
        </w:rPr>
        <w:t>1000</w:t>
      </w:r>
      <w:r>
        <w:rPr>
          <w:rFonts w:hint="eastAsia"/>
        </w:rPr>
        <w:t>立方米，专营药品类体外诊断试剂的企业从事冷链药品业务的，冷库容积不少于</w:t>
      </w:r>
      <w:r>
        <w:rPr>
          <w:rFonts w:hint="eastAsia"/>
        </w:rPr>
        <w:t>20</w:t>
      </w:r>
      <w:r>
        <w:rPr>
          <w:rFonts w:hint="eastAsia"/>
        </w:rPr>
        <w:t>立方米。如果经营特殊储存温度要求的药品，还需配备与经营品种和规模相适应的仓库和设施。具有疫苗配送业务的企业应当符合《疫苗管理法》的相关要求。</w:t>
      </w:r>
    </w:p>
    <w:p w14:paraId="3737A220" w14:textId="77777777" w:rsidR="006E3E8B" w:rsidRDefault="006E3E8B" w:rsidP="00406E3E"/>
    <w:p w14:paraId="6C536516" w14:textId="77777777" w:rsidR="006E3E8B" w:rsidRDefault="006E3E8B" w:rsidP="00406E3E">
      <w:r>
        <w:rPr>
          <w:rFonts w:hint="eastAsia"/>
        </w:rPr>
        <w:t>（三）企业应当配备与物流规模相适应的托盘货位。</w:t>
      </w:r>
    </w:p>
    <w:p w14:paraId="5659F76D" w14:textId="77777777" w:rsidR="006E3E8B" w:rsidRDefault="006E3E8B" w:rsidP="00406E3E"/>
    <w:p w14:paraId="5475E2F1" w14:textId="77777777" w:rsidR="006E3E8B" w:rsidRDefault="006E3E8B" w:rsidP="00406E3E">
      <w:r>
        <w:rPr>
          <w:rFonts w:hint="eastAsia"/>
        </w:rPr>
        <w:t>（四）具有能覆盖储存、拣选、集货配送、作业控制等功能区域，与分拣量相匹配的药品自动输送设备，配备与业务模式和业务规模相</w:t>
      </w:r>
      <w:proofErr w:type="gramStart"/>
      <w:r>
        <w:rPr>
          <w:rFonts w:hint="eastAsia"/>
        </w:rPr>
        <w:t>适应的零货及</w:t>
      </w:r>
      <w:proofErr w:type="gramEnd"/>
      <w:r>
        <w:rPr>
          <w:rFonts w:hint="eastAsia"/>
        </w:rPr>
        <w:t>整箱拣选、自动输送、在线扫描复核、自动分拣等设施设备，</w:t>
      </w:r>
      <w:proofErr w:type="gramStart"/>
      <w:r>
        <w:rPr>
          <w:rFonts w:hint="eastAsia"/>
        </w:rPr>
        <w:t>出库零拣复核</w:t>
      </w:r>
      <w:proofErr w:type="gramEnd"/>
      <w:r>
        <w:rPr>
          <w:rFonts w:hint="eastAsia"/>
        </w:rPr>
        <w:t>滑道、出库分拣机滑道，实现作业自动化。</w:t>
      </w:r>
    </w:p>
    <w:p w14:paraId="4990294B" w14:textId="77777777" w:rsidR="006E3E8B" w:rsidRDefault="006E3E8B" w:rsidP="00406E3E"/>
    <w:p w14:paraId="3A8CF1BF" w14:textId="77777777" w:rsidR="006E3E8B" w:rsidRDefault="006E3E8B" w:rsidP="00406E3E">
      <w:r>
        <w:rPr>
          <w:rFonts w:hint="eastAsia"/>
        </w:rPr>
        <w:t>（五）拣选作业区内开展拆零拣选作业的，应当选用识别管理设备实现药品入库验收、上架、分拣、养护、出库复核、药品运输、配送等作业管理。配备与物流规模相适应的条形码编制、打印扫描设备、无线射频终端、“可识别”标签</w:t>
      </w:r>
      <w:proofErr w:type="gramStart"/>
      <w:r>
        <w:rPr>
          <w:rFonts w:hint="eastAsia"/>
        </w:rPr>
        <w:t>辅助拣货系统</w:t>
      </w:r>
      <w:proofErr w:type="gramEnd"/>
      <w:r>
        <w:rPr>
          <w:rFonts w:hint="eastAsia"/>
        </w:rPr>
        <w:t>等设备。</w:t>
      </w:r>
      <w:proofErr w:type="gramStart"/>
      <w:r>
        <w:rPr>
          <w:rFonts w:hint="eastAsia"/>
        </w:rPr>
        <w:t>设置零货储存</w:t>
      </w:r>
      <w:proofErr w:type="gramEnd"/>
      <w:r>
        <w:rPr>
          <w:rFonts w:hint="eastAsia"/>
        </w:rPr>
        <w:t>区的，应当配置与物流规模相适应的货架、货位，货位间必须有效隔离。</w:t>
      </w:r>
    </w:p>
    <w:p w14:paraId="4C22FB83" w14:textId="77777777" w:rsidR="006E3E8B" w:rsidRDefault="006E3E8B" w:rsidP="00406E3E"/>
    <w:p w14:paraId="7517A33C" w14:textId="77777777" w:rsidR="006E3E8B" w:rsidRDefault="006E3E8B" w:rsidP="00406E3E">
      <w:r>
        <w:rPr>
          <w:rFonts w:hint="eastAsia"/>
        </w:rPr>
        <w:t>第十条【运输车辆】企业应当配备与药品配送规模相适应的密闭式自有运输车辆不少于</w:t>
      </w:r>
      <w:r>
        <w:rPr>
          <w:rFonts w:hint="eastAsia"/>
        </w:rPr>
        <w:t>5</w:t>
      </w:r>
      <w:r>
        <w:rPr>
          <w:rFonts w:hint="eastAsia"/>
        </w:rPr>
        <w:t>辆，开展冷链药品物流业务的，还应当配备可自动监测、显示、记录温度的冷藏车不少于</w:t>
      </w:r>
      <w:r>
        <w:rPr>
          <w:rFonts w:hint="eastAsia"/>
        </w:rPr>
        <w:t>2</w:t>
      </w:r>
      <w:r>
        <w:rPr>
          <w:rFonts w:hint="eastAsia"/>
        </w:rPr>
        <w:t>辆。专营生物制品的，应当</w:t>
      </w:r>
      <w:proofErr w:type="gramStart"/>
      <w:r>
        <w:rPr>
          <w:rFonts w:hint="eastAsia"/>
        </w:rPr>
        <w:t>按开展</w:t>
      </w:r>
      <w:proofErr w:type="gramEnd"/>
      <w:r>
        <w:rPr>
          <w:rFonts w:hint="eastAsia"/>
        </w:rPr>
        <w:t>冷链药品物流业务要求配备冷藏车。专营药品类体外诊断试剂的企业，应当至少配备</w:t>
      </w:r>
      <w:r>
        <w:rPr>
          <w:rFonts w:hint="eastAsia"/>
        </w:rPr>
        <w:t>1</w:t>
      </w:r>
      <w:r>
        <w:rPr>
          <w:rFonts w:hint="eastAsia"/>
        </w:rPr>
        <w:t>辆自有运输车辆，如从事冷链药品业务，至少配备</w:t>
      </w:r>
      <w:r>
        <w:rPr>
          <w:rFonts w:hint="eastAsia"/>
        </w:rPr>
        <w:t>1</w:t>
      </w:r>
      <w:r>
        <w:rPr>
          <w:rFonts w:hint="eastAsia"/>
        </w:rPr>
        <w:t>辆冷藏车。</w:t>
      </w:r>
    </w:p>
    <w:p w14:paraId="26DE1C0D" w14:textId="77777777" w:rsidR="006E3E8B" w:rsidRDefault="006E3E8B" w:rsidP="00406E3E"/>
    <w:p w14:paraId="31E6DDE3" w14:textId="77777777" w:rsidR="006E3E8B" w:rsidRDefault="006E3E8B" w:rsidP="00406E3E">
      <w:r>
        <w:rPr>
          <w:rFonts w:hint="eastAsia"/>
        </w:rPr>
        <w:t>企业运输车辆、冷藏箱（保温箱）应当编号管理，并统一标识。冷藏车和运输麻醉药品、精神药品、医疗用毒性药品等特殊管理药品的车辆应当配备定位追踪系统。</w:t>
      </w:r>
    </w:p>
    <w:p w14:paraId="00DB2C07" w14:textId="77777777" w:rsidR="006E3E8B" w:rsidRDefault="006E3E8B" w:rsidP="00406E3E"/>
    <w:p w14:paraId="7334C4DC" w14:textId="77777777" w:rsidR="006E3E8B" w:rsidRDefault="006E3E8B" w:rsidP="00406E3E">
      <w:r>
        <w:rPr>
          <w:rFonts w:hint="eastAsia"/>
        </w:rPr>
        <w:lastRenderedPageBreak/>
        <w:t>第十一条【设备监控和控制】企业应当建立具备仓库温湿度监控、冷藏车温度监控以及异常状况报警等功能的控制室（区），并能实现远程监控。冷库、冷藏车应当能自动监测、显示、记录温度状况，温度出现异常情况能自动报警。</w:t>
      </w:r>
    </w:p>
    <w:p w14:paraId="4A710E3B" w14:textId="77777777" w:rsidR="006E3E8B" w:rsidRDefault="006E3E8B" w:rsidP="00406E3E"/>
    <w:p w14:paraId="6E3BB86F" w14:textId="77777777" w:rsidR="006E3E8B" w:rsidRDefault="006E3E8B" w:rsidP="00406E3E">
      <w:r>
        <w:rPr>
          <w:rFonts w:hint="eastAsia"/>
        </w:rPr>
        <w:t>第十二条【供电保障】冷库供电应当采用双回路或配备相匹配的备用发电机组。备用发电机组功率应当至少能保障冷库设备、温湿度监控设备、计算机服务器数据中心及控制室（区）正常运行。</w:t>
      </w:r>
    </w:p>
    <w:p w14:paraId="041F73B6" w14:textId="77777777" w:rsidR="006E3E8B" w:rsidRDefault="006E3E8B" w:rsidP="00406E3E"/>
    <w:p w14:paraId="45A6CA7C" w14:textId="77777777" w:rsidR="006E3E8B" w:rsidRDefault="006E3E8B" w:rsidP="00406E3E">
      <w:r>
        <w:rPr>
          <w:rFonts w:hint="eastAsia"/>
        </w:rPr>
        <w:t>第十三条【特殊药品储运】麻醉药品、精神药品、医疗用毒性药品等特殊管理药品存放保存应当按国家相关规定执行。</w:t>
      </w:r>
    </w:p>
    <w:p w14:paraId="2AB2C7D2" w14:textId="77777777" w:rsidR="006E3E8B" w:rsidRDefault="006E3E8B" w:rsidP="00406E3E"/>
    <w:p w14:paraId="27A895C9" w14:textId="77777777" w:rsidR="006E3E8B" w:rsidRDefault="006E3E8B" w:rsidP="00406E3E">
      <w:r>
        <w:rPr>
          <w:rFonts w:hint="eastAsia"/>
        </w:rPr>
        <w:t>第十四条【疫苗配送】企业从事疫苗配送的，还应当符合国家疫苗配送的有关要求。</w:t>
      </w:r>
    </w:p>
    <w:p w14:paraId="09871956" w14:textId="77777777" w:rsidR="006E3E8B" w:rsidRDefault="006E3E8B" w:rsidP="00406E3E"/>
    <w:p w14:paraId="1EE3BF80" w14:textId="77777777" w:rsidR="006E3E8B" w:rsidRDefault="006E3E8B" w:rsidP="00406E3E">
      <w:pPr>
        <w:jc w:val="center"/>
      </w:pPr>
      <w:r>
        <w:rPr>
          <w:rFonts w:hint="eastAsia"/>
        </w:rPr>
        <w:t>第四章</w:t>
      </w:r>
      <w:r>
        <w:rPr>
          <w:rFonts w:hint="eastAsia"/>
        </w:rPr>
        <w:t xml:space="preserve"> </w:t>
      </w:r>
      <w:r>
        <w:rPr>
          <w:rFonts w:hint="eastAsia"/>
        </w:rPr>
        <w:t>信息管理系统</w:t>
      </w:r>
    </w:p>
    <w:p w14:paraId="22366160" w14:textId="77777777" w:rsidR="006E3E8B" w:rsidRDefault="006E3E8B" w:rsidP="00406E3E"/>
    <w:p w14:paraId="1B426B7B" w14:textId="77777777" w:rsidR="006E3E8B" w:rsidRDefault="006E3E8B" w:rsidP="00406E3E">
      <w:r>
        <w:rPr>
          <w:rFonts w:hint="eastAsia"/>
        </w:rPr>
        <w:t>第十五条【信息管理总体要求】企业应当具有独立的信息管理系统。系统的数据库软件、网络安全与应用安全管理软件、操作系统软件等应当与药品物流规模相适应，符合《药品经营质量管理规范》相关要求，满足药品现代物流运营、药品质量管理和信息安全的需要。</w:t>
      </w:r>
    </w:p>
    <w:p w14:paraId="5E220BB9" w14:textId="77777777" w:rsidR="006E3E8B" w:rsidRDefault="006E3E8B" w:rsidP="00406E3E"/>
    <w:p w14:paraId="5B28A155" w14:textId="77777777" w:rsidR="006E3E8B" w:rsidRDefault="006E3E8B" w:rsidP="00406E3E">
      <w:r>
        <w:rPr>
          <w:rFonts w:hint="eastAsia"/>
        </w:rPr>
        <w:t>第十六条【信息管理具体要求】企业的信息管理系统应当具备仓储管理、运输管理、温湿度监测等功能。具体要求如下：</w:t>
      </w:r>
    </w:p>
    <w:p w14:paraId="40C20DA6" w14:textId="77777777" w:rsidR="006E3E8B" w:rsidRDefault="006E3E8B" w:rsidP="00406E3E"/>
    <w:p w14:paraId="6F9275FD" w14:textId="77777777" w:rsidR="006E3E8B" w:rsidRDefault="006E3E8B" w:rsidP="00406E3E">
      <w:r>
        <w:rPr>
          <w:rFonts w:hint="eastAsia"/>
        </w:rPr>
        <w:t>（一）仓储管理系统应当与业务管理信息系统的数据进行实时对接，实现药品入库、出库、储存、退回等仓储全过程质量管理和控制，并具备全程货物查询、追溯功能。</w:t>
      </w:r>
    </w:p>
    <w:p w14:paraId="60C55F32" w14:textId="77777777" w:rsidR="006E3E8B" w:rsidRDefault="006E3E8B" w:rsidP="00406E3E"/>
    <w:p w14:paraId="0EE1FDC6" w14:textId="77777777" w:rsidR="006E3E8B" w:rsidRDefault="006E3E8B" w:rsidP="00406E3E">
      <w:r>
        <w:rPr>
          <w:rFonts w:hint="eastAsia"/>
        </w:rPr>
        <w:t>（二）运输管理系统应当具备对运输药品的品种、数量、批号、工具、人员、发货时间、到货时间、签收，以及冷链药品温度等进行全程跟踪、记录、调度的功能。</w:t>
      </w:r>
    </w:p>
    <w:p w14:paraId="0ED14B08" w14:textId="77777777" w:rsidR="006E3E8B" w:rsidRDefault="006E3E8B" w:rsidP="00406E3E"/>
    <w:p w14:paraId="0E382AEE" w14:textId="77777777" w:rsidR="006E3E8B" w:rsidRDefault="006E3E8B" w:rsidP="00406E3E">
      <w:r>
        <w:rPr>
          <w:rFonts w:hint="eastAsia"/>
        </w:rPr>
        <w:t>（三）温湿度监测系统应当对药品所有仓库温度、湿度，以及冷藏车温度实时监测及记录。</w:t>
      </w:r>
    </w:p>
    <w:p w14:paraId="1BD3A8B5" w14:textId="77777777" w:rsidR="006E3E8B" w:rsidRDefault="006E3E8B" w:rsidP="00406E3E"/>
    <w:p w14:paraId="21FBDCBB" w14:textId="77777777" w:rsidR="006E3E8B" w:rsidRDefault="006E3E8B" w:rsidP="00406E3E">
      <w:r>
        <w:rPr>
          <w:rFonts w:hint="eastAsia"/>
        </w:rPr>
        <w:t>第十七条【信息追溯系统】</w:t>
      </w:r>
      <w:r>
        <w:rPr>
          <w:rFonts w:hint="eastAsia"/>
        </w:rPr>
        <w:t xml:space="preserve"> </w:t>
      </w:r>
      <w:r>
        <w:rPr>
          <w:rFonts w:hint="eastAsia"/>
        </w:rPr>
        <w:t>企业应当配置信息追溯系统，保证经营过程中数据的真实、准确、完整、可追溯，企业应当采用信息化手段实现数据共享、信息互通，按要求实现对药品最小包装单位可追溯、可核查。</w:t>
      </w:r>
    </w:p>
    <w:p w14:paraId="564FB585" w14:textId="77777777" w:rsidR="006E3E8B" w:rsidRDefault="006E3E8B" w:rsidP="00406E3E"/>
    <w:p w14:paraId="4AF38303" w14:textId="77777777" w:rsidR="006E3E8B" w:rsidRDefault="006E3E8B" w:rsidP="00406E3E">
      <w:r>
        <w:rPr>
          <w:rFonts w:hint="eastAsia"/>
        </w:rPr>
        <w:t>第十八条【计算机硬件和网络条件】企业应当配置与药品物流规模相适应的计算机硬件系统和网络环境，并符合以下要求：</w:t>
      </w:r>
    </w:p>
    <w:p w14:paraId="7AF5DFCE" w14:textId="77777777" w:rsidR="006E3E8B" w:rsidRDefault="006E3E8B" w:rsidP="00406E3E"/>
    <w:p w14:paraId="4597DA3F" w14:textId="77777777" w:rsidR="006E3E8B" w:rsidRDefault="006E3E8B" w:rsidP="00406E3E">
      <w:r>
        <w:rPr>
          <w:rFonts w:hint="eastAsia"/>
        </w:rPr>
        <w:t>（一）企业计算机信息系统应具备系统持续性运行能力和数据完整性能力，可以有效规避因单一服务器系统异常导致的服务中止和数据</w:t>
      </w:r>
      <w:proofErr w:type="gramStart"/>
      <w:r>
        <w:rPr>
          <w:rFonts w:hint="eastAsia"/>
        </w:rPr>
        <w:t>不</w:t>
      </w:r>
      <w:proofErr w:type="gramEnd"/>
      <w:r>
        <w:rPr>
          <w:rFonts w:hint="eastAsia"/>
        </w:rPr>
        <w:t>完整性，实现持续提供服务。</w:t>
      </w:r>
    </w:p>
    <w:p w14:paraId="6D9C78D4" w14:textId="77777777" w:rsidR="006E3E8B" w:rsidRDefault="006E3E8B" w:rsidP="00406E3E"/>
    <w:p w14:paraId="26D443F8" w14:textId="77777777" w:rsidR="006E3E8B" w:rsidRDefault="006E3E8B" w:rsidP="00406E3E">
      <w:r>
        <w:rPr>
          <w:rFonts w:hint="eastAsia"/>
        </w:rPr>
        <w:t>（二）计算机管理系统应当有固定接入互联网的方式和可靠的信息安全平台；企业网络出口带宽应当与业务规模相适应。</w:t>
      </w:r>
    </w:p>
    <w:p w14:paraId="38404AC0" w14:textId="77777777" w:rsidR="006E3E8B" w:rsidRDefault="006E3E8B" w:rsidP="00406E3E"/>
    <w:p w14:paraId="1580706F" w14:textId="77777777" w:rsidR="006E3E8B" w:rsidRDefault="006E3E8B" w:rsidP="00406E3E">
      <w:r>
        <w:rPr>
          <w:rFonts w:hint="eastAsia"/>
        </w:rPr>
        <w:t>（三）数据按日备份，采用安全、可靠的方式（异地服务器或云储存等）存储和追溯管理。数据记录应当至少保存</w:t>
      </w:r>
      <w:r>
        <w:rPr>
          <w:rFonts w:hint="eastAsia"/>
        </w:rPr>
        <w:t>5</w:t>
      </w:r>
      <w:r>
        <w:rPr>
          <w:rFonts w:hint="eastAsia"/>
        </w:rPr>
        <w:t>年。</w:t>
      </w:r>
    </w:p>
    <w:p w14:paraId="7B660D24" w14:textId="77777777" w:rsidR="006E3E8B" w:rsidRDefault="006E3E8B" w:rsidP="00406E3E"/>
    <w:p w14:paraId="15130E79" w14:textId="77777777" w:rsidR="006E3E8B" w:rsidRDefault="006E3E8B" w:rsidP="00406E3E">
      <w:pPr>
        <w:jc w:val="center"/>
      </w:pPr>
      <w:r>
        <w:rPr>
          <w:rFonts w:hint="eastAsia"/>
        </w:rPr>
        <w:t>第五章</w:t>
      </w:r>
      <w:r>
        <w:rPr>
          <w:rFonts w:hint="eastAsia"/>
        </w:rPr>
        <w:t xml:space="preserve"> </w:t>
      </w:r>
      <w:r>
        <w:rPr>
          <w:rFonts w:hint="eastAsia"/>
        </w:rPr>
        <w:t>制度与管理</w:t>
      </w:r>
    </w:p>
    <w:p w14:paraId="171EFD1E" w14:textId="77777777" w:rsidR="006E3E8B" w:rsidRDefault="006E3E8B" w:rsidP="00406E3E"/>
    <w:p w14:paraId="1AE1347A" w14:textId="77777777" w:rsidR="006E3E8B" w:rsidRDefault="006E3E8B" w:rsidP="00406E3E">
      <w:r>
        <w:rPr>
          <w:rFonts w:hint="eastAsia"/>
        </w:rPr>
        <w:t>第十九条【管理制度】企业应当制定符合业务管理要求，能够保证药品质量的管理体系文件，应当包括《药品经营质量管理规范》规定的制度，以及下列管理制度：</w:t>
      </w:r>
    </w:p>
    <w:p w14:paraId="4CA6F839" w14:textId="77777777" w:rsidR="006E3E8B" w:rsidRDefault="006E3E8B" w:rsidP="00406E3E"/>
    <w:p w14:paraId="3C8D7C9F" w14:textId="77777777" w:rsidR="006E3E8B" w:rsidRDefault="006E3E8B" w:rsidP="00406E3E">
      <w:r>
        <w:rPr>
          <w:rFonts w:hint="eastAsia"/>
        </w:rPr>
        <w:t>（一）物流、信息部门或人员的药品质量岗位职责；</w:t>
      </w:r>
    </w:p>
    <w:p w14:paraId="1AF2B868" w14:textId="77777777" w:rsidR="006E3E8B" w:rsidRDefault="006E3E8B" w:rsidP="00406E3E"/>
    <w:p w14:paraId="6C991CAF" w14:textId="77777777" w:rsidR="006E3E8B" w:rsidRDefault="006E3E8B" w:rsidP="00406E3E">
      <w:r>
        <w:rPr>
          <w:rFonts w:hint="eastAsia"/>
        </w:rPr>
        <w:t>（二）药品物流配送管理制度；</w:t>
      </w:r>
    </w:p>
    <w:p w14:paraId="48EE5A89" w14:textId="77777777" w:rsidR="006E3E8B" w:rsidRDefault="006E3E8B" w:rsidP="00406E3E"/>
    <w:p w14:paraId="7B14286F" w14:textId="77777777" w:rsidR="006E3E8B" w:rsidRDefault="006E3E8B" w:rsidP="00406E3E">
      <w:r>
        <w:rPr>
          <w:rFonts w:hint="eastAsia"/>
        </w:rPr>
        <w:t>（三）设施设备的标准操作规程和维护保养管理制度。</w:t>
      </w:r>
    </w:p>
    <w:p w14:paraId="4F603564" w14:textId="77777777" w:rsidR="006E3E8B" w:rsidRDefault="006E3E8B" w:rsidP="00406E3E"/>
    <w:p w14:paraId="38ED1BF7" w14:textId="77777777" w:rsidR="006E3E8B" w:rsidRDefault="006E3E8B" w:rsidP="00406E3E">
      <w:r>
        <w:rPr>
          <w:rFonts w:hint="eastAsia"/>
        </w:rPr>
        <w:t>第二十条【质量管理记录】企业应当按要求建立药品质量管理记录。包括：药品收货和验收、药品退回、仓库温湿度、药品养护检查、药品出库复核、药品送货、销售退回药品验收、不合格药品控制和销毁、存在质量安全隐患药品的处理等记录。质量管理记录保存不少于</w:t>
      </w:r>
      <w:r>
        <w:rPr>
          <w:rFonts w:hint="eastAsia"/>
        </w:rPr>
        <w:t>5</w:t>
      </w:r>
      <w:r>
        <w:rPr>
          <w:rFonts w:hint="eastAsia"/>
        </w:rPr>
        <w:t>年。</w:t>
      </w:r>
    </w:p>
    <w:p w14:paraId="7B569603" w14:textId="77777777" w:rsidR="006E3E8B" w:rsidRDefault="006E3E8B" w:rsidP="00406E3E"/>
    <w:p w14:paraId="43C5F5A3" w14:textId="77777777" w:rsidR="006E3E8B" w:rsidRDefault="006E3E8B" w:rsidP="00406E3E">
      <w:r>
        <w:rPr>
          <w:rFonts w:hint="eastAsia"/>
        </w:rPr>
        <w:t>第二十一条【药品销毁】销毁药品应根据法律法规的要求，由企业自行监督销毁或由监管部门监督销毁，销毁方式应采取符合环保要求的无害化处理方式，并对销毁的过程和环节进行记录。</w:t>
      </w:r>
    </w:p>
    <w:p w14:paraId="1C6D547F" w14:textId="77777777" w:rsidR="006E3E8B" w:rsidRDefault="006E3E8B" w:rsidP="00406E3E"/>
    <w:p w14:paraId="294F3D4B" w14:textId="77777777" w:rsidR="006E3E8B" w:rsidRDefault="006E3E8B" w:rsidP="00406E3E">
      <w:pPr>
        <w:jc w:val="center"/>
      </w:pPr>
      <w:r>
        <w:rPr>
          <w:rFonts w:hint="eastAsia"/>
        </w:rPr>
        <w:t>第六章</w:t>
      </w:r>
      <w:r>
        <w:rPr>
          <w:rFonts w:hint="eastAsia"/>
        </w:rPr>
        <w:t xml:space="preserve"> </w:t>
      </w:r>
      <w:r>
        <w:rPr>
          <w:rFonts w:hint="eastAsia"/>
        </w:rPr>
        <w:t>受托储存、运输药品的要求</w:t>
      </w:r>
    </w:p>
    <w:p w14:paraId="5FEF1FB7" w14:textId="77777777" w:rsidR="006E3E8B" w:rsidRDefault="006E3E8B" w:rsidP="00406E3E"/>
    <w:p w14:paraId="73A09588" w14:textId="77777777" w:rsidR="006E3E8B" w:rsidRDefault="006E3E8B" w:rsidP="00406E3E">
      <w:pPr>
        <w:jc w:val="center"/>
      </w:pPr>
      <w:r>
        <w:rPr>
          <w:rFonts w:hint="eastAsia"/>
        </w:rPr>
        <w:t>第二十二条【受托储存、运输药品总体要求】开展受托储存、运输药品业务的药品批发企业，应当按照《药品经营质量管理规范》的要求开展储存、运输活动，配合委托方开展质量评估，按照委托协议履行义务，并且承担相应的法律责任和合同责任。药品批发企业开展受托储存、运输药品业务在符合本意</w:t>
      </w:r>
      <w:proofErr w:type="gramStart"/>
      <w:r>
        <w:rPr>
          <w:rFonts w:hint="eastAsia"/>
        </w:rPr>
        <w:t>见以上</w:t>
      </w:r>
      <w:proofErr w:type="gramEnd"/>
      <w:r>
        <w:rPr>
          <w:rFonts w:hint="eastAsia"/>
        </w:rPr>
        <w:t>条款之外，还应当符合本意见第六章的要求。</w:t>
      </w:r>
    </w:p>
    <w:p w14:paraId="72956B61" w14:textId="77777777" w:rsidR="006E3E8B" w:rsidRDefault="006E3E8B" w:rsidP="00406E3E"/>
    <w:p w14:paraId="69455482" w14:textId="77777777" w:rsidR="006E3E8B" w:rsidRDefault="006E3E8B" w:rsidP="00406E3E">
      <w:r>
        <w:rPr>
          <w:rFonts w:hint="eastAsia"/>
        </w:rPr>
        <w:t>第二十三条【仓储设施】开展受托储存、运输药品业务的药品批发企业，仓储面积不少于</w:t>
      </w:r>
      <w:r>
        <w:rPr>
          <w:rFonts w:hint="eastAsia"/>
        </w:rPr>
        <w:t>15000</w:t>
      </w:r>
      <w:r>
        <w:rPr>
          <w:rFonts w:hint="eastAsia"/>
        </w:rPr>
        <w:t>平方米或容积不少于</w:t>
      </w:r>
      <w:r>
        <w:rPr>
          <w:rFonts w:hint="eastAsia"/>
        </w:rPr>
        <w:t>75000</w:t>
      </w:r>
      <w:r>
        <w:rPr>
          <w:rFonts w:hint="eastAsia"/>
        </w:rPr>
        <w:t>立方米。</w:t>
      </w:r>
    </w:p>
    <w:p w14:paraId="23C7EB33" w14:textId="77777777" w:rsidR="006E3E8B" w:rsidRDefault="006E3E8B" w:rsidP="00406E3E"/>
    <w:p w14:paraId="4796D38D" w14:textId="77777777" w:rsidR="006E3E8B" w:rsidRDefault="006E3E8B" w:rsidP="00406E3E">
      <w:r>
        <w:rPr>
          <w:rFonts w:hint="eastAsia"/>
        </w:rPr>
        <w:t>第二十四条【运输车辆】开展受托储存、运输药品业务的药品批发企业，应当配备与药品配送规模相适应的密闭式自有运输车辆不少于</w:t>
      </w:r>
      <w:r>
        <w:rPr>
          <w:rFonts w:hint="eastAsia"/>
        </w:rPr>
        <w:t>8</w:t>
      </w:r>
      <w:r>
        <w:rPr>
          <w:rFonts w:hint="eastAsia"/>
        </w:rPr>
        <w:t>辆，开展冷链药品物流业务的，还应当配备自动调控和显示温度状况的冷藏车不少于</w:t>
      </w:r>
      <w:r>
        <w:rPr>
          <w:rFonts w:hint="eastAsia"/>
        </w:rPr>
        <w:t>3</w:t>
      </w:r>
      <w:r>
        <w:rPr>
          <w:rFonts w:hint="eastAsia"/>
        </w:rPr>
        <w:t>辆。</w:t>
      </w:r>
    </w:p>
    <w:p w14:paraId="003EA1C4" w14:textId="77777777" w:rsidR="006E3E8B" w:rsidRDefault="006E3E8B" w:rsidP="00406E3E"/>
    <w:p w14:paraId="7DD09200" w14:textId="77777777" w:rsidR="006E3E8B" w:rsidRDefault="006E3E8B" w:rsidP="00406E3E">
      <w:r>
        <w:rPr>
          <w:rFonts w:hint="eastAsia"/>
        </w:rPr>
        <w:lastRenderedPageBreak/>
        <w:t>第二十五条【委托储运信息交换】开展受托储存、运输药品业务的药品批发企业，应当配置电子数据交换平台，支持物流作业数据与委托储存配送的进行信息交换，具备对委托方药品收货、验收、入库、储存、养护、出库、运输、退回等指令的处理功能，实现药品委托</w:t>
      </w:r>
      <w:proofErr w:type="gramStart"/>
      <w:r>
        <w:rPr>
          <w:rFonts w:hint="eastAsia"/>
        </w:rPr>
        <w:t>储存全</w:t>
      </w:r>
      <w:proofErr w:type="gramEnd"/>
      <w:r>
        <w:rPr>
          <w:rFonts w:hint="eastAsia"/>
        </w:rPr>
        <w:t>过程质量管理和控制，并具备全程货物查询、追溯功能，确保实现药品信息的有效追溯。</w:t>
      </w:r>
    </w:p>
    <w:p w14:paraId="457DF3E0" w14:textId="77777777" w:rsidR="006E3E8B" w:rsidRDefault="006E3E8B" w:rsidP="00406E3E"/>
    <w:p w14:paraId="0C01B391" w14:textId="77777777" w:rsidR="006E3E8B" w:rsidRDefault="006E3E8B" w:rsidP="00406E3E">
      <w:r>
        <w:rPr>
          <w:rFonts w:hint="eastAsia"/>
        </w:rPr>
        <w:t>第二十六条【质量管理制度和记录】开展受托储存、运输药品业务的药品批发企业，应当制定药品委托储存配送的管理制度，与委托方进行指令和信息交换以及对委托方审核的管理制度。建立的质量管理记录应当包括委托方的收货指令、委托方的发货指令记录等。</w:t>
      </w:r>
    </w:p>
    <w:p w14:paraId="38527753" w14:textId="77777777" w:rsidR="006E3E8B" w:rsidRDefault="006E3E8B" w:rsidP="00406E3E"/>
    <w:p w14:paraId="4EB88717" w14:textId="77777777" w:rsidR="006E3E8B" w:rsidRDefault="006E3E8B" w:rsidP="00406E3E">
      <w:r>
        <w:rPr>
          <w:rFonts w:hint="eastAsia"/>
        </w:rPr>
        <w:t>第二十七条【委托协议】开展受托储存、运输药品业务的药品批发企业，应当与委托方签订包括委托业务范围、记录和数据管理、票据管理、质量责任和违约责任、重大问题报告、评估要求等内容在内的委托协议。</w:t>
      </w:r>
    </w:p>
    <w:p w14:paraId="18235254" w14:textId="77777777" w:rsidR="006E3E8B" w:rsidRDefault="006E3E8B" w:rsidP="00406E3E"/>
    <w:p w14:paraId="1E1A133F" w14:textId="77777777" w:rsidR="006E3E8B" w:rsidRDefault="006E3E8B" w:rsidP="00406E3E">
      <w:pPr>
        <w:jc w:val="center"/>
      </w:pPr>
      <w:r>
        <w:rPr>
          <w:rFonts w:hint="eastAsia"/>
        </w:rPr>
        <w:t>第七章</w:t>
      </w:r>
      <w:r>
        <w:rPr>
          <w:rFonts w:hint="eastAsia"/>
        </w:rPr>
        <w:t xml:space="preserve">  </w:t>
      </w:r>
      <w:r>
        <w:rPr>
          <w:rFonts w:hint="eastAsia"/>
        </w:rPr>
        <w:t>附</w:t>
      </w:r>
      <w:r>
        <w:rPr>
          <w:rFonts w:hint="eastAsia"/>
        </w:rPr>
        <w:t xml:space="preserve"> </w:t>
      </w:r>
      <w:r>
        <w:rPr>
          <w:rFonts w:hint="eastAsia"/>
        </w:rPr>
        <w:t>则</w:t>
      </w:r>
    </w:p>
    <w:p w14:paraId="69610A3D" w14:textId="77777777" w:rsidR="006E3E8B" w:rsidRDefault="006E3E8B" w:rsidP="00406E3E"/>
    <w:p w14:paraId="4AD2A266" w14:textId="77777777" w:rsidR="006E3E8B" w:rsidRDefault="006E3E8B" w:rsidP="00406E3E">
      <w:r>
        <w:rPr>
          <w:rFonts w:hint="eastAsia"/>
        </w:rPr>
        <w:t>第二十八条</w:t>
      </w:r>
      <w:r>
        <w:rPr>
          <w:rFonts w:hint="eastAsia"/>
        </w:rPr>
        <w:t xml:space="preserve"> </w:t>
      </w:r>
      <w:r>
        <w:rPr>
          <w:rFonts w:hint="eastAsia"/>
        </w:rPr>
        <w:t>【名词解释】自动化仓库是指借助机械设施（如高层货架、巷道堆垛机、自动分拣系统、出入库自动输送系统、以及周边设施设备等）计算机管理控制系统实现存入和取出物料的系统。</w:t>
      </w:r>
    </w:p>
    <w:p w14:paraId="0DACED89" w14:textId="77777777" w:rsidR="006E3E8B" w:rsidRDefault="006E3E8B" w:rsidP="00406E3E"/>
    <w:p w14:paraId="3E216960" w14:textId="77777777" w:rsidR="00F45EEB" w:rsidRDefault="006E3E8B" w:rsidP="00406E3E">
      <w:r>
        <w:rPr>
          <w:rFonts w:hint="eastAsia"/>
        </w:rPr>
        <w:t>第二十九条</w:t>
      </w:r>
      <w:r>
        <w:rPr>
          <w:rFonts w:hint="eastAsia"/>
        </w:rPr>
        <w:t xml:space="preserve"> </w:t>
      </w:r>
      <w:r>
        <w:rPr>
          <w:rFonts w:hint="eastAsia"/>
        </w:rPr>
        <w:t>【实施期限】本规定自</w:t>
      </w:r>
      <w:r>
        <w:rPr>
          <w:rFonts w:hint="eastAsia"/>
        </w:rPr>
        <w:t>2023</w:t>
      </w:r>
      <w:r>
        <w:rPr>
          <w:rFonts w:hint="eastAsia"/>
        </w:rPr>
        <w:t>年</w:t>
      </w:r>
      <w:r>
        <w:rPr>
          <w:rFonts w:hint="eastAsia"/>
        </w:rPr>
        <w:t>4</w:t>
      </w:r>
      <w:r>
        <w:rPr>
          <w:rFonts w:hint="eastAsia"/>
        </w:rPr>
        <w:t>月</w:t>
      </w:r>
      <w:r>
        <w:rPr>
          <w:rFonts w:hint="eastAsia"/>
        </w:rPr>
        <w:t>6</w:t>
      </w:r>
      <w:r>
        <w:rPr>
          <w:rFonts w:hint="eastAsia"/>
        </w:rPr>
        <w:t>日起施行，有效期</w:t>
      </w:r>
      <w:r>
        <w:rPr>
          <w:rFonts w:hint="eastAsia"/>
        </w:rPr>
        <w:t>5</w:t>
      </w:r>
      <w:r>
        <w:rPr>
          <w:rFonts w:hint="eastAsia"/>
        </w:rPr>
        <w:t>年。</w:t>
      </w:r>
    </w:p>
    <w:p w14:paraId="22D46217" w14:textId="77777777" w:rsidR="006E3E8B" w:rsidRDefault="006E3E8B" w:rsidP="00406E3E"/>
    <w:p w14:paraId="28EE89F2" w14:textId="77777777" w:rsidR="00406E3E" w:rsidRDefault="00406E3E" w:rsidP="00406E3E">
      <w:pPr>
        <w:rPr>
          <w:rFonts w:hint="eastAsia"/>
        </w:rPr>
      </w:pPr>
    </w:p>
    <w:p w14:paraId="48C3DA81" w14:textId="77777777" w:rsidR="006E3E8B" w:rsidRDefault="006E3E8B" w:rsidP="00406E3E">
      <w:r>
        <w:rPr>
          <w:rFonts w:hint="eastAsia"/>
        </w:rPr>
        <w:t>信息来源：</w:t>
      </w:r>
    </w:p>
    <w:p w14:paraId="1CA27203" w14:textId="77777777" w:rsidR="006E3E8B" w:rsidRDefault="00406E3E" w:rsidP="00406E3E">
      <w:hyperlink r:id="rId6" w:history="1">
        <w:r w:rsidR="006E3E8B" w:rsidRPr="008A1826">
          <w:rPr>
            <w:rStyle w:val="a3"/>
          </w:rPr>
          <w:t>https://www.shanghai.gov.cn/gwk/search/content/f87166297ee94b40b60eadc400cb5588</w:t>
        </w:r>
      </w:hyperlink>
    </w:p>
    <w:p w14:paraId="1EFCAD31" w14:textId="77777777" w:rsidR="006E3E8B" w:rsidRPr="006E3E8B" w:rsidRDefault="006E3E8B" w:rsidP="00406E3E"/>
    <w:sectPr w:rsidR="006E3E8B" w:rsidRPr="006E3E8B"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1D81" w14:textId="77777777" w:rsidR="00341AEC" w:rsidRDefault="00341AEC" w:rsidP="00341AEC">
      <w:pPr>
        <w:spacing w:line="240" w:lineRule="auto"/>
      </w:pPr>
      <w:r>
        <w:separator/>
      </w:r>
    </w:p>
  </w:endnote>
  <w:endnote w:type="continuationSeparator" w:id="0">
    <w:p w14:paraId="5828D0ED" w14:textId="77777777" w:rsidR="00341AEC" w:rsidRDefault="00341AEC" w:rsidP="00341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EAF2" w14:textId="77777777" w:rsidR="00341AEC" w:rsidRDefault="00341AEC" w:rsidP="00341AEC">
      <w:pPr>
        <w:spacing w:line="240" w:lineRule="auto"/>
      </w:pPr>
      <w:r>
        <w:separator/>
      </w:r>
    </w:p>
  </w:footnote>
  <w:footnote w:type="continuationSeparator" w:id="0">
    <w:p w14:paraId="217003E4" w14:textId="77777777" w:rsidR="00341AEC" w:rsidRDefault="00341AEC" w:rsidP="00341A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8B"/>
    <w:rsid w:val="00341AEC"/>
    <w:rsid w:val="003504FE"/>
    <w:rsid w:val="00406E3E"/>
    <w:rsid w:val="004D031A"/>
    <w:rsid w:val="00650E34"/>
    <w:rsid w:val="006E3E8B"/>
    <w:rsid w:val="00B41EDF"/>
    <w:rsid w:val="00CF3849"/>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E4281"/>
  <w15:chartTrackingRefBased/>
  <w15:docId w15:val="{8FCBC9B6-74EC-43BA-8B7B-115E4454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3E8B"/>
    <w:rPr>
      <w:color w:val="0563C1" w:themeColor="hyperlink"/>
      <w:u w:val="single"/>
    </w:rPr>
  </w:style>
  <w:style w:type="character" w:styleId="a4">
    <w:name w:val="Unresolved Mention"/>
    <w:basedOn w:val="a0"/>
    <w:uiPriority w:val="99"/>
    <w:semiHidden/>
    <w:unhideWhenUsed/>
    <w:rsid w:val="006E3E8B"/>
    <w:rPr>
      <w:color w:val="605E5C"/>
      <w:shd w:val="clear" w:color="auto" w:fill="E1DFDD"/>
    </w:rPr>
  </w:style>
  <w:style w:type="paragraph" w:styleId="a5">
    <w:name w:val="header"/>
    <w:basedOn w:val="a"/>
    <w:link w:val="a6"/>
    <w:uiPriority w:val="99"/>
    <w:unhideWhenUsed/>
    <w:rsid w:val="00341AEC"/>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341AEC"/>
    <w:rPr>
      <w:sz w:val="18"/>
      <w:szCs w:val="18"/>
    </w:rPr>
  </w:style>
  <w:style w:type="paragraph" w:styleId="a7">
    <w:name w:val="footer"/>
    <w:basedOn w:val="a"/>
    <w:link w:val="a8"/>
    <w:uiPriority w:val="99"/>
    <w:unhideWhenUsed/>
    <w:rsid w:val="00341AEC"/>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341A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2634">
      <w:bodyDiv w:val="1"/>
      <w:marLeft w:val="0"/>
      <w:marRight w:val="0"/>
      <w:marTop w:val="0"/>
      <w:marBottom w:val="0"/>
      <w:divBdr>
        <w:top w:val="none" w:sz="0" w:space="0" w:color="auto"/>
        <w:left w:val="none" w:sz="0" w:space="0" w:color="auto"/>
        <w:bottom w:val="none" w:sz="0" w:space="0" w:color="auto"/>
        <w:right w:val="none" w:sz="0" w:space="0" w:color="auto"/>
      </w:divBdr>
      <w:divsChild>
        <w:div w:id="1938979056">
          <w:marLeft w:val="0"/>
          <w:marRight w:val="0"/>
          <w:marTop w:val="0"/>
          <w:marBottom w:val="0"/>
          <w:divBdr>
            <w:top w:val="none" w:sz="0" w:space="0" w:color="auto"/>
            <w:left w:val="none" w:sz="0" w:space="0" w:color="auto"/>
            <w:bottom w:val="single" w:sz="6" w:space="0" w:color="EEEEEE"/>
            <w:right w:val="none" w:sz="0" w:space="0" w:color="auto"/>
          </w:divBdr>
          <w:divsChild>
            <w:div w:id="174461356">
              <w:marLeft w:val="0"/>
              <w:marRight w:val="0"/>
              <w:marTop w:val="0"/>
              <w:marBottom w:val="0"/>
              <w:divBdr>
                <w:top w:val="none" w:sz="0" w:space="0" w:color="auto"/>
                <w:left w:val="none" w:sz="0" w:space="0" w:color="auto"/>
                <w:bottom w:val="none" w:sz="0" w:space="0" w:color="auto"/>
                <w:right w:val="none" w:sz="0" w:space="0" w:color="auto"/>
              </w:divBdr>
              <w:divsChild>
                <w:div w:id="376323256">
                  <w:marLeft w:val="0"/>
                  <w:marRight w:val="0"/>
                  <w:marTop w:val="90"/>
                  <w:marBottom w:val="0"/>
                  <w:divBdr>
                    <w:top w:val="none" w:sz="0" w:space="0" w:color="auto"/>
                    <w:left w:val="none" w:sz="0" w:space="0" w:color="auto"/>
                    <w:bottom w:val="none" w:sz="0" w:space="0" w:color="auto"/>
                    <w:right w:val="none" w:sz="0" w:space="0" w:color="auto"/>
                  </w:divBdr>
                </w:div>
                <w:div w:id="11268033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78191394">
          <w:marLeft w:val="0"/>
          <w:marRight w:val="0"/>
          <w:marTop w:val="0"/>
          <w:marBottom w:val="0"/>
          <w:divBdr>
            <w:top w:val="none" w:sz="0" w:space="0" w:color="auto"/>
            <w:left w:val="none" w:sz="0" w:space="0" w:color="auto"/>
            <w:bottom w:val="none" w:sz="0" w:space="0" w:color="auto"/>
            <w:right w:val="none" w:sz="0" w:space="0" w:color="auto"/>
          </w:divBdr>
          <w:divsChild>
            <w:div w:id="1147937362">
              <w:marLeft w:val="0"/>
              <w:marRight w:val="0"/>
              <w:marTop w:val="0"/>
              <w:marBottom w:val="0"/>
              <w:divBdr>
                <w:top w:val="none" w:sz="0" w:space="0" w:color="auto"/>
                <w:left w:val="none" w:sz="0" w:space="0" w:color="auto"/>
                <w:bottom w:val="none" w:sz="0" w:space="0" w:color="auto"/>
                <w:right w:val="none" w:sz="0" w:space="0" w:color="auto"/>
              </w:divBdr>
              <w:divsChild>
                <w:div w:id="11017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anghai.gov.cn/gwk/search/content/f87166297ee94b40b60eadc400cb558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5</cp:revision>
  <dcterms:created xsi:type="dcterms:W3CDTF">2023-04-12T08:29:00Z</dcterms:created>
  <dcterms:modified xsi:type="dcterms:W3CDTF">2023-04-14T03:07:00Z</dcterms:modified>
</cp:coreProperties>
</file>