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82E4" w14:textId="09A9AEAA" w:rsidR="002072FB" w:rsidRPr="008E5552" w:rsidRDefault="002072FB" w:rsidP="007F4555">
      <w:pPr>
        <w:widowControl/>
        <w:overflowPunct/>
        <w:spacing w:line="276" w:lineRule="auto"/>
        <w:jc w:val="center"/>
        <w:rPr>
          <w:b/>
          <w:bCs/>
          <w:color w:val="E36C0A"/>
          <w:sz w:val="32"/>
          <w:szCs w:val="32"/>
          <w14:ligatures w14:val="none"/>
        </w:rPr>
      </w:pPr>
      <w:r w:rsidRPr="008E5552">
        <w:rPr>
          <w:rFonts w:hint="eastAsia"/>
          <w:b/>
          <w:bCs/>
          <w:color w:val="E36C0A"/>
          <w:sz w:val="32"/>
          <w:szCs w:val="32"/>
          <w14:ligatures w14:val="none"/>
        </w:rPr>
        <w:t>关于规范信托公司异地部门有关事项的通知</w:t>
      </w:r>
    </w:p>
    <w:p w14:paraId="1616F45F" w14:textId="77777777" w:rsidR="002072FB" w:rsidRDefault="002072FB" w:rsidP="007F4555">
      <w:pPr>
        <w:pStyle w:val="AD"/>
        <w:spacing w:line="276" w:lineRule="auto"/>
      </w:pPr>
    </w:p>
    <w:p w14:paraId="2CDC6927" w14:textId="6E679047" w:rsidR="002072FB" w:rsidRDefault="002072FB" w:rsidP="007F4555">
      <w:pPr>
        <w:pStyle w:val="AD"/>
        <w:spacing w:line="276" w:lineRule="auto"/>
      </w:pPr>
      <w:proofErr w:type="gramStart"/>
      <w:r>
        <w:rPr>
          <w:rFonts w:hint="eastAsia"/>
        </w:rPr>
        <w:t>各银保</w:t>
      </w:r>
      <w:proofErr w:type="gramEnd"/>
      <w:r>
        <w:rPr>
          <w:rFonts w:hint="eastAsia"/>
        </w:rPr>
        <w:t>监局：</w:t>
      </w:r>
    </w:p>
    <w:p w14:paraId="1EBACE9E" w14:textId="77777777" w:rsidR="002072FB" w:rsidRDefault="002072FB" w:rsidP="007F4555">
      <w:pPr>
        <w:pStyle w:val="AD"/>
        <w:spacing w:line="276" w:lineRule="auto"/>
      </w:pPr>
    </w:p>
    <w:p w14:paraId="7F9547E1" w14:textId="77777777" w:rsidR="002072FB" w:rsidRDefault="002072FB" w:rsidP="007F4555">
      <w:pPr>
        <w:pStyle w:val="AD"/>
        <w:spacing w:line="276" w:lineRule="auto"/>
        <w:ind w:firstLineChars="200" w:firstLine="440"/>
      </w:pPr>
      <w:r>
        <w:rPr>
          <w:rFonts w:hint="eastAsia"/>
        </w:rPr>
        <w:t>为优化信托公司跨区域经营模式，促进信托行业改革转型发展，更好服务实体经济，现就规范信托公司异地部门有关事项通知如下：</w:t>
      </w:r>
    </w:p>
    <w:p w14:paraId="1CF383B1" w14:textId="77777777" w:rsidR="002072FB" w:rsidRDefault="002072FB" w:rsidP="007F4555">
      <w:pPr>
        <w:pStyle w:val="AD"/>
        <w:spacing w:line="276" w:lineRule="auto"/>
      </w:pPr>
    </w:p>
    <w:p w14:paraId="450FE801" w14:textId="77777777" w:rsidR="002072FB" w:rsidRDefault="002072FB" w:rsidP="009A5F27">
      <w:pPr>
        <w:pStyle w:val="AD"/>
        <w:spacing w:line="276" w:lineRule="auto"/>
        <w:ind w:firstLineChars="200" w:firstLine="440"/>
      </w:pPr>
      <w:r>
        <w:rPr>
          <w:rFonts w:hint="eastAsia"/>
        </w:rPr>
        <w:t>一、本通知所称信托公司异地部门，是指信托公司在住所所在地以外设置的部门。</w:t>
      </w:r>
    </w:p>
    <w:p w14:paraId="0E444BE1" w14:textId="77777777" w:rsidR="002072FB" w:rsidRDefault="002072FB" w:rsidP="009A5F27">
      <w:pPr>
        <w:pStyle w:val="AD"/>
        <w:spacing w:line="276" w:lineRule="auto"/>
        <w:ind w:firstLineChars="200" w:firstLine="440"/>
      </w:pPr>
    </w:p>
    <w:p w14:paraId="6D1F9E39" w14:textId="77777777" w:rsidR="002072FB" w:rsidRDefault="002072FB" w:rsidP="009A5F27">
      <w:pPr>
        <w:pStyle w:val="AD"/>
        <w:spacing w:line="276" w:lineRule="auto"/>
        <w:ind w:firstLineChars="200" w:firstLine="440"/>
      </w:pPr>
      <w:r>
        <w:rPr>
          <w:rFonts w:hint="eastAsia"/>
        </w:rPr>
        <w:t>二、信托公司异地部门包括业务、营销等部门。</w:t>
      </w:r>
    </w:p>
    <w:p w14:paraId="7105E657" w14:textId="77777777" w:rsidR="002072FB" w:rsidRDefault="002072FB" w:rsidP="009A5F27">
      <w:pPr>
        <w:pStyle w:val="AD"/>
        <w:spacing w:line="276" w:lineRule="auto"/>
        <w:ind w:firstLineChars="200" w:firstLine="440"/>
      </w:pPr>
    </w:p>
    <w:p w14:paraId="0A629EB4" w14:textId="77777777" w:rsidR="002072FB" w:rsidRDefault="002072FB" w:rsidP="009A5F27">
      <w:pPr>
        <w:pStyle w:val="AD"/>
        <w:spacing w:line="276" w:lineRule="auto"/>
        <w:ind w:firstLineChars="200" w:firstLine="440"/>
      </w:pPr>
      <w:r>
        <w:rPr>
          <w:rFonts w:hint="eastAsia"/>
        </w:rPr>
        <w:t>三、信托公司根据业务发展需要、中长期发展规划、内部控制水平和风险管理能力等，原则上可在全国</w:t>
      </w:r>
      <w:r>
        <w:rPr>
          <w:rFonts w:hint="eastAsia"/>
        </w:rPr>
        <w:t>6</w:t>
      </w:r>
      <w:r>
        <w:rPr>
          <w:rFonts w:hint="eastAsia"/>
        </w:rPr>
        <w:t>个城市设置异地部门。同一城市所设异地部门在同一地址集中办公，数量不超过</w:t>
      </w:r>
      <w:r>
        <w:rPr>
          <w:rFonts w:hint="eastAsia"/>
        </w:rPr>
        <w:t>5</w:t>
      </w:r>
      <w:r>
        <w:rPr>
          <w:rFonts w:hint="eastAsia"/>
        </w:rPr>
        <w:t>个。</w:t>
      </w:r>
    </w:p>
    <w:p w14:paraId="046F260D" w14:textId="77777777" w:rsidR="002072FB" w:rsidRDefault="002072FB" w:rsidP="009A5F27">
      <w:pPr>
        <w:pStyle w:val="AD"/>
        <w:spacing w:line="276" w:lineRule="auto"/>
        <w:ind w:firstLineChars="200" w:firstLine="440"/>
      </w:pPr>
    </w:p>
    <w:p w14:paraId="37137F37" w14:textId="77777777" w:rsidR="002072FB" w:rsidRDefault="002072FB" w:rsidP="009A5F27">
      <w:pPr>
        <w:pStyle w:val="AD"/>
        <w:spacing w:line="276" w:lineRule="auto"/>
        <w:ind w:firstLineChars="200" w:firstLine="440"/>
      </w:pPr>
      <w:r>
        <w:rPr>
          <w:rFonts w:hint="eastAsia"/>
        </w:rPr>
        <w:t>银保监会将根据信托行业发展实际与改革转型需要，视情调整前款规定。</w:t>
      </w:r>
    </w:p>
    <w:p w14:paraId="02042731" w14:textId="77777777" w:rsidR="002072FB" w:rsidRDefault="002072FB" w:rsidP="009A5F27">
      <w:pPr>
        <w:pStyle w:val="AD"/>
        <w:spacing w:line="276" w:lineRule="auto"/>
        <w:ind w:firstLineChars="200" w:firstLine="440"/>
      </w:pPr>
    </w:p>
    <w:p w14:paraId="74603DD7" w14:textId="77777777" w:rsidR="002072FB" w:rsidRDefault="002072FB" w:rsidP="009A5F27">
      <w:pPr>
        <w:pStyle w:val="AD"/>
        <w:spacing w:line="276" w:lineRule="auto"/>
        <w:ind w:firstLineChars="200" w:firstLine="440"/>
      </w:pPr>
      <w:r>
        <w:rPr>
          <w:rFonts w:hint="eastAsia"/>
        </w:rPr>
        <w:t>四、信托公司异地部门不对外挂牌。信托公司应在官方网站公开异地部门名称、地址等信息。</w:t>
      </w:r>
    </w:p>
    <w:p w14:paraId="2B316668" w14:textId="77777777" w:rsidR="002072FB" w:rsidRDefault="002072FB" w:rsidP="009A5F27">
      <w:pPr>
        <w:pStyle w:val="AD"/>
        <w:spacing w:line="276" w:lineRule="auto"/>
        <w:ind w:firstLineChars="200" w:firstLine="440"/>
      </w:pPr>
    </w:p>
    <w:p w14:paraId="21327395" w14:textId="77777777" w:rsidR="002072FB" w:rsidRDefault="002072FB" w:rsidP="009A5F27">
      <w:pPr>
        <w:pStyle w:val="AD"/>
        <w:spacing w:line="276" w:lineRule="auto"/>
        <w:ind w:firstLineChars="200" w:firstLine="440"/>
      </w:pPr>
      <w:r>
        <w:rPr>
          <w:rFonts w:hint="eastAsia"/>
        </w:rPr>
        <w:t>五、属地银保监局应指导辖内信托公司全面梳理报送异地部门情况。异地部门设置不符合本通知要求的，有关信托公司应于</w:t>
      </w:r>
      <w:r>
        <w:rPr>
          <w:rFonts w:hint="eastAsia"/>
        </w:rPr>
        <w:t>3</w:t>
      </w:r>
      <w:r>
        <w:rPr>
          <w:rFonts w:hint="eastAsia"/>
        </w:rPr>
        <w:t>个月内报送整改方案，明确整改方式与风险防范措施，经属地银保监局审查后，于</w:t>
      </w:r>
      <w:r>
        <w:rPr>
          <w:rFonts w:hint="eastAsia"/>
        </w:rPr>
        <w:t>2024</w:t>
      </w:r>
      <w:r>
        <w:rPr>
          <w:rFonts w:hint="eastAsia"/>
        </w:rPr>
        <w:t>年底前实施完成整改工作。确有困难的，属地银保监局可根据信托公司报告情况适当延期，延长期限不超过</w:t>
      </w:r>
      <w:r>
        <w:rPr>
          <w:rFonts w:hint="eastAsia"/>
        </w:rPr>
        <w:t>1</w:t>
      </w:r>
      <w:r>
        <w:rPr>
          <w:rFonts w:hint="eastAsia"/>
        </w:rPr>
        <w:t>年。</w:t>
      </w:r>
    </w:p>
    <w:p w14:paraId="2788DFC4" w14:textId="77777777" w:rsidR="002072FB" w:rsidRDefault="002072FB" w:rsidP="009A5F27">
      <w:pPr>
        <w:pStyle w:val="AD"/>
        <w:spacing w:line="276" w:lineRule="auto"/>
        <w:ind w:firstLineChars="200" w:firstLine="440"/>
      </w:pPr>
    </w:p>
    <w:p w14:paraId="48FD245D" w14:textId="77777777" w:rsidR="002072FB" w:rsidRDefault="002072FB" w:rsidP="009A5F27">
      <w:pPr>
        <w:pStyle w:val="AD"/>
        <w:spacing w:line="276" w:lineRule="auto"/>
        <w:ind w:firstLineChars="200" w:firstLine="440"/>
      </w:pPr>
      <w:r>
        <w:rPr>
          <w:rFonts w:hint="eastAsia"/>
        </w:rPr>
        <w:t>六、属地银保监局应切实承担监管主体责任和属地责任，持续提升信托公司异地部门监管质效。</w:t>
      </w:r>
    </w:p>
    <w:p w14:paraId="3268EC89" w14:textId="77777777" w:rsidR="002072FB" w:rsidRDefault="002072FB" w:rsidP="009A5F27">
      <w:pPr>
        <w:pStyle w:val="AD"/>
        <w:spacing w:line="276" w:lineRule="auto"/>
        <w:ind w:firstLineChars="200" w:firstLine="440"/>
      </w:pPr>
    </w:p>
    <w:p w14:paraId="7E471B0F" w14:textId="77777777" w:rsidR="002072FB" w:rsidRDefault="002072FB" w:rsidP="009A5F27">
      <w:pPr>
        <w:pStyle w:val="AD"/>
        <w:spacing w:line="276" w:lineRule="auto"/>
        <w:ind w:firstLineChars="200" w:firstLine="440"/>
      </w:pPr>
      <w:r>
        <w:rPr>
          <w:rFonts w:hint="eastAsia"/>
        </w:rPr>
        <w:t>（一）压实信托公司主体责任。督导信托公司有序合</w:t>
      </w:r>
      <w:proofErr w:type="gramStart"/>
      <w:r>
        <w:rPr>
          <w:rFonts w:hint="eastAsia"/>
        </w:rPr>
        <w:t>规</w:t>
      </w:r>
      <w:proofErr w:type="gramEnd"/>
      <w:r>
        <w:rPr>
          <w:rFonts w:hint="eastAsia"/>
        </w:rPr>
        <w:t>设置异地部门，持续加强异地员工管理，优化完善异地项目尽职调查机制，严格规范异地推介行为，定期开展异地经营风险评估，稳妥做好风险应对与处置工作。</w:t>
      </w:r>
    </w:p>
    <w:p w14:paraId="08E5FFBF" w14:textId="77777777" w:rsidR="002072FB" w:rsidRDefault="002072FB" w:rsidP="009A5F27">
      <w:pPr>
        <w:pStyle w:val="AD"/>
        <w:spacing w:line="276" w:lineRule="auto"/>
        <w:ind w:firstLineChars="200" w:firstLine="440"/>
      </w:pPr>
    </w:p>
    <w:p w14:paraId="7A90E813" w14:textId="77777777" w:rsidR="002072FB" w:rsidRDefault="002072FB" w:rsidP="009A5F27">
      <w:pPr>
        <w:pStyle w:val="AD"/>
        <w:spacing w:line="276" w:lineRule="auto"/>
        <w:ind w:firstLineChars="200" w:firstLine="440"/>
      </w:pPr>
      <w:r>
        <w:rPr>
          <w:rFonts w:hint="eastAsia"/>
        </w:rPr>
        <w:t>（二）强化信托公司异地部门设置监管。结合属地监管实际，建立完善“清单式”监管机制，持续监测信托公司异地部门设置情况。综合考虑展业管理水平、风险态势和违法违规记录等情况，对信托公司调整异地部门设置提出监管要求。</w:t>
      </w:r>
    </w:p>
    <w:p w14:paraId="242408C1" w14:textId="77777777" w:rsidR="002072FB" w:rsidRDefault="002072FB" w:rsidP="009A5F27">
      <w:pPr>
        <w:pStyle w:val="AD"/>
        <w:spacing w:line="276" w:lineRule="auto"/>
        <w:ind w:firstLineChars="200" w:firstLine="440"/>
      </w:pPr>
    </w:p>
    <w:p w14:paraId="1570A4AA" w14:textId="77777777" w:rsidR="002072FB" w:rsidRDefault="002072FB" w:rsidP="009A5F27">
      <w:pPr>
        <w:pStyle w:val="AD"/>
        <w:spacing w:line="276" w:lineRule="auto"/>
        <w:ind w:firstLineChars="200" w:firstLine="440"/>
      </w:pPr>
      <w:r>
        <w:rPr>
          <w:rFonts w:hint="eastAsia"/>
        </w:rPr>
        <w:t>（三）加强信托公司异地经营行为监测。利用科技赋能，创新监管模式，丰富监管手段，及时发现信托公司异地经营违法违规行为，增强风险防控主动性与前瞻性。畅通监管沟通渠道，加强与信托公司异地部门所在地银保监局的信息共享与监管联动，形成工作合力。</w:t>
      </w:r>
    </w:p>
    <w:p w14:paraId="1D69CB5A" w14:textId="77777777" w:rsidR="002072FB" w:rsidRDefault="002072FB" w:rsidP="009A5F27">
      <w:pPr>
        <w:pStyle w:val="AD"/>
        <w:spacing w:line="276" w:lineRule="auto"/>
        <w:ind w:firstLineChars="200" w:firstLine="440"/>
      </w:pPr>
    </w:p>
    <w:p w14:paraId="7EAAFB02" w14:textId="77777777" w:rsidR="002072FB" w:rsidRDefault="002072FB" w:rsidP="009A5F27">
      <w:pPr>
        <w:pStyle w:val="AD"/>
        <w:spacing w:line="276" w:lineRule="auto"/>
        <w:ind w:firstLineChars="200" w:firstLine="440"/>
      </w:pPr>
      <w:r>
        <w:rPr>
          <w:rFonts w:hint="eastAsia"/>
        </w:rPr>
        <w:t>（四）推动落实地方党政主要领导负责的重大财政金融风险处置机制。优化与地方党委和政府的监管信息通报机制，定期与不定期通报信托公司异地经营与风险状况。针对信托公司异地重大风险处置、突发风险事件应对等，构建联动工作机制，协助地方党委和政府制定风险处置方案，合力采取应对措施，筑牢金融风险防线。</w:t>
      </w:r>
    </w:p>
    <w:p w14:paraId="006C683A" w14:textId="77777777" w:rsidR="002072FB" w:rsidRDefault="002072FB" w:rsidP="009A5F27">
      <w:pPr>
        <w:pStyle w:val="AD"/>
        <w:spacing w:line="276" w:lineRule="auto"/>
        <w:ind w:firstLineChars="200" w:firstLine="440"/>
      </w:pPr>
    </w:p>
    <w:p w14:paraId="59E72D25" w14:textId="77777777" w:rsidR="002072FB" w:rsidRDefault="002072FB" w:rsidP="009A5F27">
      <w:pPr>
        <w:pStyle w:val="AD"/>
        <w:spacing w:line="276" w:lineRule="auto"/>
        <w:ind w:firstLineChars="200" w:firstLine="440"/>
      </w:pPr>
      <w:r>
        <w:rPr>
          <w:rFonts w:hint="eastAsia"/>
        </w:rPr>
        <w:t>七、信托公司异地部门所在地银保监局积极协助属地银保监局开展监管工作，配合了解信托公司在辖内所设异地部门情况，及时沟通违规推介行为、经营风险苗头、舆情等信息，必要时提请地方党委和政府协同处置风险。</w:t>
      </w:r>
    </w:p>
    <w:p w14:paraId="14BBC780" w14:textId="77777777" w:rsidR="002072FB" w:rsidRDefault="002072FB" w:rsidP="009A5F27">
      <w:pPr>
        <w:pStyle w:val="AD"/>
        <w:spacing w:line="276" w:lineRule="auto"/>
        <w:ind w:firstLineChars="200" w:firstLine="440"/>
      </w:pPr>
    </w:p>
    <w:p w14:paraId="02E13D64" w14:textId="77777777" w:rsidR="002072FB" w:rsidRDefault="002072FB" w:rsidP="009A5F27">
      <w:pPr>
        <w:pStyle w:val="AD"/>
        <w:spacing w:line="276" w:lineRule="auto"/>
        <w:ind w:firstLineChars="200" w:firstLine="440"/>
      </w:pPr>
      <w:r>
        <w:rPr>
          <w:rFonts w:hint="eastAsia"/>
        </w:rPr>
        <w:t>八、信托公司不得在住所所在地以外设立异地管理总部。</w:t>
      </w:r>
    </w:p>
    <w:p w14:paraId="15FCC82C" w14:textId="77777777" w:rsidR="002072FB" w:rsidRDefault="002072FB" w:rsidP="009A5F27">
      <w:pPr>
        <w:pStyle w:val="AD"/>
        <w:spacing w:line="276" w:lineRule="auto"/>
        <w:ind w:firstLineChars="200" w:firstLine="440"/>
      </w:pPr>
    </w:p>
    <w:p w14:paraId="1D980539" w14:textId="77777777" w:rsidR="002072FB" w:rsidRDefault="002072FB" w:rsidP="009A5F27">
      <w:pPr>
        <w:pStyle w:val="AD"/>
        <w:spacing w:line="276" w:lineRule="auto"/>
        <w:ind w:firstLineChars="200" w:firstLine="440"/>
      </w:pPr>
      <w:r>
        <w:rPr>
          <w:rFonts w:hint="eastAsia"/>
        </w:rPr>
        <w:t>属地银保监局应于</w:t>
      </w:r>
      <w:r>
        <w:rPr>
          <w:rFonts w:hint="eastAsia"/>
        </w:rPr>
        <w:t>3</w:t>
      </w:r>
      <w:r>
        <w:rPr>
          <w:rFonts w:hint="eastAsia"/>
        </w:rPr>
        <w:t>个月内完成信托公司现有异地管理总部监管评估。对确有必要保留的，指导信托公司主动向住所所在地或异地管理总部所在地地方党委和政府报告，明确承担属地风险处置责任、落实风险处置</w:t>
      </w:r>
      <w:proofErr w:type="gramStart"/>
      <w:r>
        <w:rPr>
          <w:rFonts w:hint="eastAsia"/>
        </w:rPr>
        <w:t>维稳任务</w:t>
      </w:r>
      <w:proofErr w:type="gramEnd"/>
      <w:r>
        <w:rPr>
          <w:rFonts w:hint="eastAsia"/>
        </w:rPr>
        <w:t>意见后，原则上可保留一个异地管理总部。对不予保留的，督促信托公司制定管理总部回迁方案，于</w:t>
      </w:r>
      <w:r>
        <w:rPr>
          <w:rFonts w:hint="eastAsia"/>
        </w:rPr>
        <w:t>2025</w:t>
      </w:r>
      <w:r>
        <w:rPr>
          <w:rFonts w:hint="eastAsia"/>
        </w:rPr>
        <w:t>年底前实施完成。</w:t>
      </w:r>
    </w:p>
    <w:p w14:paraId="6C0D1FE4" w14:textId="77777777" w:rsidR="002072FB" w:rsidRDefault="002072FB" w:rsidP="009A5F27">
      <w:pPr>
        <w:pStyle w:val="AD"/>
        <w:spacing w:line="276" w:lineRule="auto"/>
        <w:ind w:firstLineChars="200" w:firstLine="440"/>
      </w:pPr>
    </w:p>
    <w:p w14:paraId="3D84FC9B" w14:textId="0BFBA8BA" w:rsidR="002072FB" w:rsidRDefault="002072FB" w:rsidP="009A5F27">
      <w:pPr>
        <w:pStyle w:val="AD"/>
        <w:spacing w:line="276" w:lineRule="auto"/>
        <w:ind w:firstLineChars="200" w:firstLine="440"/>
      </w:pPr>
      <w:r>
        <w:rPr>
          <w:rFonts w:hint="eastAsia"/>
        </w:rPr>
        <w:t>信托公司异地管理总部所在城市与所设业务、营销等部门纳入本通知第三条相关统计，有关监督管理要求参照适用本通知第四条、第六条、第七条规定。</w:t>
      </w:r>
    </w:p>
    <w:p w14:paraId="31DBA23F" w14:textId="77777777" w:rsidR="002072FB" w:rsidRDefault="002072FB" w:rsidP="007F4555">
      <w:pPr>
        <w:pStyle w:val="AD"/>
        <w:spacing w:line="276" w:lineRule="auto"/>
      </w:pPr>
    </w:p>
    <w:p w14:paraId="6A8EEDA5" w14:textId="5084A802" w:rsidR="002072FB" w:rsidRDefault="002072FB" w:rsidP="007F4555">
      <w:pPr>
        <w:pStyle w:val="AD"/>
        <w:spacing w:line="276" w:lineRule="auto"/>
        <w:jc w:val="right"/>
      </w:pPr>
      <w:r>
        <w:rPr>
          <w:rFonts w:hint="eastAsia"/>
        </w:rPr>
        <w:t>中国银保监会</w:t>
      </w:r>
    </w:p>
    <w:p w14:paraId="1368E60E" w14:textId="0C2E36A9" w:rsidR="002072FB" w:rsidRDefault="002072FB" w:rsidP="007F4555">
      <w:pPr>
        <w:pStyle w:val="AD"/>
        <w:spacing w:line="276" w:lineRule="auto"/>
        <w:jc w:val="right"/>
      </w:pPr>
      <w:r>
        <w:rPr>
          <w:rFonts w:hint="eastAsia"/>
        </w:rPr>
        <w:t>2023</w:t>
      </w:r>
      <w:r>
        <w:rPr>
          <w:rFonts w:hint="eastAsia"/>
        </w:rPr>
        <w:t>年</w:t>
      </w:r>
      <w:r>
        <w:rPr>
          <w:rFonts w:hint="eastAsia"/>
        </w:rPr>
        <w:t>3</w:t>
      </w:r>
      <w:r>
        <w:rPr>
          <w:rFonts w:hint="eastAsia"/>
        </w:rPr>
        <w:t>月</w:t>
      </w:r>
      <w:r>
        <w:rPr>
          <w:rFonts w:hint="eastAsia"/>
        </w:rPr>
        <w:t>28</w:t>
      </w:r>
      <w:r>
        <w:rPr>
          <w:rFonts w:hint="eastAsia"/>
        </w:rPr>
        <w:t>日</w:t>
      </w:r>
    </w:p>
    <w:p w14:paraId="54499154" w14:textId="6DC14FB9" w:rsidR="00B15193" w:rsidRDefault="002072FB" w:rsidP="007F4555">
      <w:pPr>
        <w:pStyle w:val="AD"/>
        <w:spacing w:line="276" w:lineRule="auto"/>
      </w:pPr>
      <w:r>
        <w:rPr>
          <w:rFonts w:hint="eastAsia"/>
        </w:rPr>
        <w:t>（此件发至银保</w:t>
      </w:r>
      <w:proofErr w:type="gramStart"/>
      <w:r>
        <w:rPr>
          <w:rFonts w:hint="eastAsia"/>
        </w:rPr>
        <w:t>监分局</w:t>
      </w:r>
      <w:proofErr w:type="gramEnd"/>
      <w:r>
        <w:rPr>
          <w:rFonts w:hint="eastAsia"/>
        </w:rPr>
        <w:t>与信托公司）</w:t>
      </w:r>
    </w:p>
    <w:p w14:paraId="34660765" w14:textId="77777777" w:rsidR="007F4555" w:rsidRDefault="007F4555" w:rsidP="007F4555">
      <w:pPr>
        <w:pStyle w:val="AD"/>
        <w:spacing w:line="276" w:lineRule="auto"/>
      </w:pPr>
    </w:p>
    <w:p w14:paraId="2C1C6A9D" w14:textId="5932CCFE" w:rsidR="002072FB" w:rsidRDefault="002072FB" w:rsidP="007F4555">
      <w:pPr>
        <w:pStyle w:val="AD"/>
        <w:spacing w:line="276" w:lineRule="auto"/>
      </w:pPr>
    </w:p>
    <w:p w14:paraId="0442EB48" w14:textId="77777777" w:rsidR="002072FB" w:rsidRDefault="002072FB" w:rsidP="007F4555">
      <w:pPr>
        <w:pStyle w:val="AD"/>
        <w:spacing w:line="276" w:lineRule="auto"/>
      </w:pPr>
      <w:r>
        <w:rPr>
          <w:rFonts w:hint="eastAsia"/>
        </w:rPr>
        <w:t>信息来源：</w:t>
      </w:r>
    </w:p>
    <w:p w14:paraId="0CEF22D0" w14:textId="6F8FDED1" w:rsidR="002072FB" w:rsidRDefault="00000000" w:rsidP="007F4555">
      <w:pPr>
        <w:pStyle w:val="AD"/>
        <w:spacing w:line="276" w:lineRule="auto"/>
      </w:pPr>
      <w:hyperlink r:id="rId6" w:history="1">
        <w:r w:rsidR="002072FB" w:rsidRPr="004F2D2D">
          <w:rPr>
            <w:rStyle w:val="a7"/>
          </w:rPr>
          <w:t>https://www.cbirc.gov.cn/cn/view/pages/governmentDetail.html?docId=1102403&amp;itemId=875&amp;generaltype=1</w:t>
        </w:r>
      </w:hyperlink>
    </w:p>
    <w:p w14:paraId="01C4015E" w14:textId="77777777" w:rsidR="002072FB" w:rsidRPr="002072FB" w:rsidRDefault="002072FB" w:rsidP="007F4555">
      <w:pPr>
        <w:pStyle w:val="AD"/>
        <w:spacing w:line="276" w:lineRule="auto"/>
      </w:pPr>
    </w:p>
    <w:sectPr w:rsidR="002072FB" w:rsidRPr="002072FB"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37BF" w14:textId="77777777" w:rsidR="00682910" w:rsidRDefault="00682910" w:rsidP="00C20A6A">
      <w:pPr>
        <w:spacing w:line="240" w:lineRule="auto"/>
      </w:pPr>
      <w:r>
        <w:separator/>
      </w:r>
    </w:p>
  </w:endnote>
  <w:endnote w:type="continuationSeparator" w:id="0">
    <w:p w14:paraId="6D00F5CD" w14:textId="77777777" w:rsidR="00682910" w:rsidRDefault="0068291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920" w14:textId="77777777" w:rsidR="00682910" w:rsidRDefault="00682910" w:rsidP="00C20A6A">
      <w:pPr>
        <w:spacing w:line="240" w:lineRule="auto"/>
      </w:pPr>
      <w:r>
        <w:separator/>
      </w:r>
    </w:p>
  </w:footnote>
  <w:footnote w:type="continuationSeparator" w:id="0">
    <w:p w14:paraId="5EBD7693" w14:textId="77777777" w:rsidR="00682910" w:rsidRDefault="0068291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FB"/>
    <w:rsid w:val="00015CD0"/>
    <w:rsid w:val="00033B1D"/>
    <w:rsid w:val="0006747F"/>
    <w:rsid w:val="00067A83"/>
    <w:rsid w:val="000E6F37"/>
    <w:rsid w:val="000F4C6A"/>
    <w:rsid w:val="00176A25"/>
    <w:rsid w:val="001C4C6F"/>
    <w:rsid w:val="002072FB"/>
    <w:rsid w:val="003D27E2"/>
    <w:rsid w:val="004B5983"/>
    <w:rsid w:val="004D4AE2"/>
    <w:rsid w:val="005264B6"/>
    <w:rsid w:val="005F7C76"/>
    <w:rsid w:val="00682910"/>
    <w:rsid w:val="00696597"/>
    <w:rsid w:val="007D7BDB"/>
    <w:rsid w:val="007F4555"/>
    <w:rsid w:val="008143D4"/>
    <w:rsid w:val="008D59BC"/>
    <w:rsid w:val="008E5552"/>
    <w:rsid w:val="00990563"/>
    <w:rsid w:val="009A5F27"/>
    <w:rsid w:val="009B1C7D"/>
    <w:rsid w:val="00A548E7"/>
    <w:rsid w:val="00A739C7"/>
    <w:rsid w:val="00B15193"/>
    <w:rsid w:val="00B731F1"/>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6D1D"/>
  <w15:chartTrackingRefBased/>
  <w15:docId w15:val="{D23A2923-7298-4410-AA36-DCE2A147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2072FB"/>
    <w:rPr>
      <w:color w:val="0000FF" w:themeColor="hyperlink"/>
      <w:u w:val="single"/>
    </w:rPr>
  </w:style>
  <w:style w:type="character" w:styleId="a8">
    <w:name w:val="Unresolved Mention"/>
    <w:basedOn w:val="a0"/>
    <w:uiPriority w:val="99"/>
    <w:semiHidden/>
    <w:unhideWhenUsed/>
    <w:rsid w:val="002072FB"/>
    <w:rPr>
      <w:color w:val="605E5C"/>
      <w:shd w:val="clear" w:color="auto" w:fill="E1DFDD"/>
    </w:rPr>
  </w:style>
  <w:style w:type="character" w:styleId="a9">
    <w:name w:val="FollowedHyperlink"/>
    <w:basedOn w:val="a0"/>
    <w:uiPriority w:val="99"/>
    <w:semiHidden/>
    <w:unhideWhenUsed/>
    <w:rsid w:val="009A5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irc.gov.cn/cn/view/pages/governmentDetail.html?docId=1102403&amp;itemId=875&amp;generaltyp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2023-04-06T07:50:00Z</dcterms:created>
  <dcterms:modified xsi:type="dcterms:W3CDTF">2023-04-07T04:24:00Z</dcterms:modified>
</cp:coreProperties>
</file>