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CB6E" w14:textId="77777777" w:rsidR="006755C3" w:rsidRPr="000B1338" w:rsidRDefault="006755C3" w:rsidP="00C34046">
      <w:pPr>
        <w:jc w:val="center"/>
        <w:rPr>
          <w:b/>
          <w:bCs/>
          <w:color w:val="E36C0A"/>
          <w:sz w:val="32"/>
          <w:szCs w:val="32"/>
        </w:rPr>
      </w:pPr>
      <w:r w:rsidRPr="000B1338">
        <w:rPr>
          <w:rFonts w:hint="eastAsia"/>
          <w:b/>
          <w:bCs/>
          <w:color w:val="E36C0A"/>
          <w:sz w:val="32"/>
          <w:szCs w:val="32"/>
        </w:rPr>
        <w:t>关于规范信托公司信托业务分类的通知</w:t>
      </w:r>
    </w:p>
    <w:p w14:paraId="66D7EF42" w14:textId="77777777" w:rsidR="006755C3" w:rsidRDefault="006755C3" w:rsidP="006755C3"/>
    <w:p w14:paraId="0502AEF1" w14:textId="77777777" w:rsidR="006755C3" w:rsidRDefault="006755C3" w:rsidP="006755C3">
      <w:r>
        <w:rPr>
          <w:rFonts w:hint="eastAsia"/>
        </w:rPr>
        <w:t>各银保监局，各信托公司，信托保障基金公司、信托登记公司、信托业协会：</w:t>
      </w:r>
    </w:p>
    <w:p w14:paraId="52FDFF9C" w14:textId="77777777" w:rsidR="006755C3" w:rsidRDefault="006755C3" w:rsidP="006755C3"/>
    <w:p w14:paraId="7543D604" w14:textId="77777777" w:rsidR="006755C3" w:rsidRDefault="006755C3" w:rsidP="00C34046">
      <w:pPr>
        <w:ind w:firstLineChars="200" w:firstLine="440"/>
      </w:pPr>
      <w:r>
        <w:rPr>
          <w:rFonts w:hint="eastAsia"/>
        </w:rPr>
        <w:t>为促进信托业务回归本源、规范发展，切实防范风险，更高效服务实体经济发展和满足人民美好生活需要，现就规范信托公司信托业务分类有关事项通知如下：</w:t>
      </w:r>
    </w:p>
    <w:p w14:paraId="46764932" w14:textId="77777777" w:rsidR="006755C3" w:rsidRDefault="006755C3" w:rsidP="006755C3"/>
    <w:p w14:paraId="42E2D2D0" w14:textId="77777777" w:rsidR="006755C3" w:rsidRDefault="006755C3" w:rsidP="00E37B63">
      <w:pPr>
        <w:ind w:firstLineChars="200" w:firstLine="440"/>
      </w:pPr>
      <w:r>
        <w:rPr>
          <w:rFonts w:hint="eastAsia"/>
        </w:rPr>
        <w:t>一、总体要求</w:t>
      </w:r>
    </w:p>
    <w:p w14:paraId="12BE52A0" w14:textId="77777777" w:rsidR="006755C3" w:rsidRDefault="006755C3" w:rsidP="00E37B63">
      <w:pPr>
        <w:ind w:firstLineChars="200" w:firstLine="440"/>
      </w:pPr>
    </w:p>
    <w:p w14:paraId="2A748E88" w14:textId="77777777" w:rsidR="006755C3" w:rsidRDefault="006755C3" w:rsidP="00E37B63">
      <w:pPr>
        <w:ind w:firstLineChars="200" w:firstLine="440"/>
      </w:pPr>
      <w:r>
        <w:rPr>
          <w:rFonts w:hint="eastAsia"/>
        </w:rPr>
        <w:t>进一步厘清信托业务边界和服务内涵，引导信托公司以规范方式发挥制度优势和行业竞争优势，推动信托业走高质量发展之路，助力全面建设社会主义现代化国家。</w:t>
      </w:r>
    </w:p>
    <w:p w14:paraId="548CB90B" w14:textId="77777777" w:rsidR="006755C3" w:rsidRDefault="006755C3" w:rsidP="00E37B63">
      <w:pPr>
        <w:ind w:firstLineChars="200" w:firstLine="440"/>
      </w:pPr>
    </w:p>
    <w:p w14:paraId="35A3B955" w14:textId="77777777" w:rsidR="006755C3" w:rsidRDefault="006755C3" w:rsidP="00E37B63">
      <w:pPr>
        <w:ind w:firstLineChars="200" w:firstLine="440"/>
      </w:pPr>
      <w:r>
        <w:rPr>
          <w:rFonts w:hint="eastAsia"/>
        </w:rPr>
        <w:t>（一）回归信托本源</w:t>
      </w:r>
    </w:p>
    <w:p w14:paraId="6509BFA7" w14:textId="77777777" w:rsidR="006755C3" w:rsidRDefault="006755C3" w:rsidP="00E37B63">
      <w:pPr>
        <w:ind w:firstLineChars="200" w:firstLine="440"/>
      </w:pPr>
    </w:p>
    <w:p w14:paraId="420A5856" w14:textId="77777777" w:rsidR="006755C3" w:rsidRDefault="006755C3" w:rsidP="00E37B63">
      <w:pPr>
        <w:ind w:firstLineChars="200" w:firstLine="440"/>
      </w:pPr>
      <w:r>
        <w:rPr>
          <w:rFonts w:hint="eastAsia"/>
        </w:rPr>
        <w:t>信托公司从事信托业务应当立足受托人定位，遵循法律法规和监管要求，确保信托目的合法合规，为受益人的最大利益处理信托事务，履行诚实守信、勤勉尽责的受托责任。</w:t>
      </w:r>
    </w:p>
    <w:p w14:paraId="21EBBFF3" w14:textId="77777777" w:rsidR="006755C3" w:rsidRDefault="006755C3" w:rsidP="00E37B63">
      <w:pPr>
        <w:ind w:firstLineChars="200" w:firstLine="440"/>
      </w:pPr>
    </w:p>
    <w:p w14:paraId="6C2F858C" w14:textId="77777777" w:rsidR="006755C3" w:rsidRDefault="006755C3" w:rsidP="00E37B63">
      <w:pPr>
        <w:ind w:firstLineChars="200" w:firstLine="440"/>
      </w:pPr>
      <w:r>
        <w:rPr>
          <w:rFonts w:hint="eastAsia"/>
        </w:rPr>
        <w:t>（二）明确分类标准</w:t>
      </w:r>
    </w:p>
    <w:p w14:paraId="76233581" w14:textId="77777777" w:rsidR="006755C3" w:rsidRDefault="006755C3" w:rsidP="00E37B63">
      <w:pPr>
        <w:ind w:firstLineChars="200" w:firstLine="440"/>
      </w:pPr>
    </w:p>
    <w:p w14:paraId="3FC89A90" w14:textId="77777777" w:rsidR="006755C3" w:rsidRDefault="006755C3" w:rsidP="00E37B63">
      <w:pPr>
        <w:ind w:firstLineChars="200" w:firstLine="440"/>
      </w:pPr>
      <w:r>
        <w:rPr>
          <w:rFonts w:hint="eastAsia"/>
        </w:rPr>
        <w:t>信托服务实质是根据委托人要求，为受益人利益而对信托财产进行各种方式的管理、处分。信托业务分类应当根据信托服务实质，明确各类业务职责边界，避免相互交叉。</w:t>
      </w:r>
    </w:p>
    <w:p w14:paraId="0DDE542B" w14:textId="77777777" w:rsidR="006755C3" w:rsidRDefault="006755C3" w:rsidP="00E37B63">
      <w:pPr>
        <w:ind w:firstLineChars="200" w:firstLine="440"/>
      </w:pPr>
    </w:p>
    <w:p w14:paraId="254F9E89" w14:textId="77777777" w:rsidR="006755C3" w:rsidRDefault="006755C3" w:rsidP="00E37B63">
      <w:pPr>
        <w:ind w:firstLineChars="200" w:firstLine="440"/>
      </w:pPr>
      <w:r>
        <w:rPr>
          <w:rFonts w:hint="eastAsia"/>
        </w:rPr>
        <w:t>（三）引导差异发展</w:t>
      </w:r>
    </w:p>
    <w:p w14:paraId="7A81A7FC" w14:textId="77777777" w:rsidR="006755C3" w:rsidRDefault="006755C3" w:rsidP="00E37B63">
      <w:pPr>
        <w:ind w:firstLineChars="200" w:firstLine="440"/>
      </w:pPr>
    </w:p>
    <w:p w14:paraId="5B1673EB" w14:textId="77777777" w:rsidR="006755C3" w:rsidRDefault="006755C3" w:rsidP="00E37B63">
      <w:pPr>
        <w:ind w:firstLineChars="200" w:firstLine="440"/>
      </w:pPr>
      <w:r>
        <w:rPr>
          <w:rFonts w:hint="eastAsia"/>
        </w:rPr>
        <w:t>按照服务内容的具体差异，对信托业务进行细分，突出能够发挥信托制度优势的业务品种，鼓励差异化发展，构建多元化信托服务体系。</w:t>
      </w:r>
    </w:p>
    <w:p w14:paraId="0769E481" w14:textId="77777777" w:rsidR="006755C3" w:rsidRDefault="006755C3" w:rsidP="00E37B63">
      <w:pPr>
        <w:ind w:firstLineChars="200" w:firstLine="440"/>
      </w:pPr>
    </w:p>
    <w:p w14:paraId="046FCC15" w14:textId="77777777" w:rsidR="006755C3" w:rsidRDefault="006755C3" w:rsidP="00E37B63">
      <w:pPr>
        <w:ind w:firstLineChars="200" w:firstLine="440"/>
      </w:pPr>
      <w:r>
        <w:rPr>
          <w:rFonts w:hint="eastAsia"/>
        </w:rPr>
        <w:t>（四）保持标准统一</w:t>
      </w:r>
    </w:p>
    <w:p w14:paraId="4FF50357" w14:textId="77777777" w:rsidR="006755C3" w:rsidRDefault="006755C3" w:rsidP="00E37B63">
      <w:pPr>
        <w:ind w:firstLineChars="200" w:firstLine="440"/>
      </w:pPr>
    </w:p>
    <w:p w14:paraId="058E05EA" w14:textId="77777777" w:rsidR="006755C3" w:rsidRDefault="006755C3" w:rsidP="00E37B63">
      <w:pPr>
        <w:ind w:firstLineChars="200" w:firstLine="440"/>
      </w:pPr>
      <w:r>
        <w:rPr>
          <w:rFonts w:hint="eastAsia"/>
        </w:rPr>
        <w:t>明确资产服务、资产管理、公益慈善等各类信托业务功能，在各类业务服务内涵等方面与国际接轨。资产管理业务监管标准对标《关于规范金融机构资产管理业务的指导意见》（银发〔</w:t>
      </w:r>
      <w:r>
        <w:rPr>
          <w:rFonts w:hint="eastAsia"/>
        </w:rPr>
        <w:t>2018</w:t>
      </w:r>
      <w:r>
        <w:rPr>
          <w:rFonts w:hint="eastAsia"/>
        </w:rPr>
        <w:t>〕</w:t>
      </w:r>
      <w:r>
        <w:rPr>
          <w:rFonts w:hint="eastAsia"/>
        </w:rPr>
        <w:t>106</w:t>
      </w:r>
      <w:r>
        <w:rPr>
          <w:rFonts w:hint="eastAsia"/>
        </w:rPr>
        <w:t>号，以下简称《指导意见》），与国内同业保持一致。</w:t>
      </w:r>
    </w:p>
    <w:p w14:paraId="3485854D" w14:textId="77777777" w:rsidR="006755C3" w:rsidRDefault="006755C3" w:rsidP="00E37B63">
      <w:pPr>
        <w:ind w:firstLineChars="200" w:firstLine="440"/>
      </w:pPr>
    </w:p>
    <w:p w14:paraId="0157A3A8" w14:textId="77777777" w:rsidR="006755C3" w:rsidRDefault="006755C3" w:rsidP="00E37B63">
      <w:pPr>
        <w:ind w:firstLineChars="200" w:firstLine="440"/>
      </w:pPr>
      <w:r>
        <w:rPr>
          <w:rFonts w:hint="eastAsia"/>
        </w:rPr>
        <w:t>（五）严格合规管理</w:t>
      </w:r>
    </w:p>
    <w:p w14:paraId="1A2E1EDA" w14:textId="77777777" w:rsidR="006755C3" w:rsidRDefault="006755C3" w:rsidP="00E37B63">
      <w:pPr>
        <w:ind w:firstLineChars="200" w:firstLine="440"/>
      </w:pPr>
    </w:p>
    <w:p w14:paraId="76625B39" w14:textId="77777777" w:rsidR="006755C3" w:rsidRDefault="006755C3" w:rsidP="00E37B63">
      <w:pPr>
        <w:ind w:firstLineChars="200" w:firstLine="440"/>
      </w:pPr>
      <w:r>
        <w:rPr>
          <w:rFonts w:hint="eastAsia"/>
        </w:rPr>
        <w:t>严防利用信托机制灵活性变相开展违规业务。信托公司要在穿透基础上，按“实质重于形式”原则对信托业务进行分类。</w:t>
      </w:r>
    </w:p>
    <w:p w14:paraId="365290BB" w14:textId="77777777" w:rsidR="006755C3" w:rsidRDefault="006755C3" w:rsidP="00E37B63">
      <w:pPr>
        <w:ind w:firstLineChars="200" w:firstLine="440"/>
      </w:pPr>
    </w:p>
    <w:p w14:paraId="18873146" w14:textId="77777777" w:rsidR="006755C3" w:rsidRDefault="006755C3" w:rsidP="00E37B63">
      <w:pPr>
        <w:ind w:firstLineChars="200" w:firstLine="440"/>
      </w:pPr>
      <w:r>
        <w:rPr>
          <w:rFonts w:hint="eastAsia"/>
        </w:rPr>
        <w:t>二、明确信托业务分类标准和要求</w:t>
      </w:r>
    </w:p>
    <w:p w14:paraId="157A0E05" w14:textId="77777777" w:rsidR="006755C3" w:rsidRDefault="006755C3" w:rsidP="00E37B63">
      <w:pPr>
        <w:ind w:firstLineChars="200" w:firstLine="440"/>
      </w:pPr>
    </w:p>
    <w:p w14:paraId="06788327" w14:textId="77777777" w:rsidR="006755C3" w:rsidRDefault="006755C3" w:rsidP="00E37B63">
      <w:pPr>
        <w:ind w:firstLineChars="200" w:firstLine="440"/>
      </w:pPr>
      <w:r>
        <w:rPr>
          <w:rFonts w:hint="eastAsia"/>
        </w:rPr>
        <w:t>信托公司应当以信托目的、信托成立方式、信托财产管理内容为分类维度，将信托业务分为资产服务信托、资产管理信托、公益慈善信托三大类共</w:t>
      </w:r>
      <w:r>
        <w:rPr>
          <w:rFonts w:hint="eastAsia"/>
        </w:rPr>
        <w:t>25</w:t>
      </w:r>
      <w:r>
        <w:rPr>
          <w:rFonts w:hint="eastAsia"/>
        </w:rPr>
        <w:t>个业务品种（具体分类要求见附件）。</w:t>
      </w:r>
    </w:p>
    <w:p w14:paraId="584C1E86" w14:textId="77777777" w:rsidR="006755C3" w:rsidRDefault="006755C3" w:rsidP="00E37B63">
      <w:pPr>
        <w:ind w:firstLineChars="200" w:firstLine="440"/>
      </w:pPr>
    </w:p>
    <w:p w14:paraId="7B3BCCB9" w14:textId="77777777" w:rsidR="006755C3" w:rsidRDefault="006755C3" w:rsidP="00E37B63">
      <w:pPr>
        <w:ind w:firstLineChars="200" w:firstLine="440"/>
      </w:pPr>
      <w:r>
        <w:rPr>
          <w:rFonts w:hint="eastAsia"/>
        </w:rPr>
        <w:t>（一）资产服务信托</w:t>
      </w:r>
    </w:p>
    <w:p w14:paraId="4029D170" w14:textId="77777777" w:rsidR="006755C3" w:rsidRDefault="006755C3" w:rsidP="00E37B63">
      <w:pPr>
        <w:ind w:firstLineChars="200" w:firstLine="440"/>
      </w:pPr>
    </w:p>
    <w:p w14:paraId="1F5495D3" w14:textId="77777777" w:rsidR="006755C3" w:rsidRDefault="006755C3" w:rsidP="00E37B63">
      <w:pPr>
        <w:ind w:firstLineChars="200" w:firstLine="440"/>
      </w:pPr>
      <w:r>
        <w:rPr>
          <w:rFonts w:hint="eastAsia"/>
        </w:rPr>
        <w:t>资产服务信托是指信托公司依据信托法律关系，接受委托人委托，并根据委托人需求为其量身定制财富规划以及代际传承、托管、破产隔离和风险处置等专业信托服务。按照服务内容和特点，分为财富管理服务信托、行政管理服务信托、资产证券化服务信托、风险处置服务信托及新型资产服务信托五类、共</w:t>
      </w:r>
      <w:r>
        <w:rPr>
          <w:rFonts w:hint="eastAsia"/>
        </w:rPr>
        <w:t>19</w:t>
      </w:r>
      <w:r>
        <w:rPr>
          <w:rFonts w:hint="eastAsia"/>
        </w:rPr>
        <w:t>个业务品种。</w:t>
      </w:r>
    </w:p>
    <w:p w14:paraId="0B0474DB" w14:textId="77777777" w:rsidR="006755C3" w:rsidRDefault="006755C3" w:rsidP="00E37B63">
      <w:pPr>
        <w:ind w:firstLineChars="200" w:firstLine="440"/>
      </w:pPr>
    </w:p>
    <w:p w14:paraId="4503A7B0" w14:textId="77777777" w:rsidR="006755C3" w:rsidRDefault="006755C3" w:rsidP="00E37B63">
      <w:pPr>
        <w:ind w:firstLineChars="200" w:firstLine="440"/>
      </w:pPr>
      <w:r>
        <w:rPr>
          <w:rFonts w:hint="eastAsia"/>
        </w:rPr>
        <w:t>（二）资产管理信托</w:t>
      </w:r>
    </w:p>
    <w:p w14:paraId="3844D245" w14:textId="77777777" w:rsidR="006755C3" w:rsidRDefault="006755C3" w:rsidP="00E37B63">
      <w:pPr>
        <w:ind w:firstLineChars="200" w:firstLine="440"/>
      </w:pPr>
    </w:p>
    <w:p w14:paraId="434377E9" w14:textId="77777777" w:rsidR="006755C3" w:rsidRDefault="006755C3" w:rsidP="00E37B63">
      <w:pPr>
        <w:ind w:firstLineChars="200" w:firstLine="440"/>
      </w:pPr>
      <w:r>
        <w:rPr>
          <w:rFonts w:hint="eastAsia"/>
        </w:rPr>
        <w:t>资产管理信托是信托公司依据信托法律关系，销售信托产品，并为信托产品投资者提供投资和管理金融服务的自益信托，属于私募资产管理业务，适用《指导意见》。信托公司应当通过非公开发行集合资金信托计划（以下简称信托计划）募集资金，并按照信托文件约定的投资方式和比例，对受托资金进行投资管理。信托计划投资者需符合合格投资者标准，在信托设立时既是委托人、也是受益人。资产管理信托依据《指导意见》规定，分为固定收益类信托计划、权益类信托计划、商品及金融衍生品类信托计划和混合类信托计划共</w:t>
      </w:r>
      <w:r>
        <w:rPr>
          <w:rFonts w:hint="eastAsia"/>
        </w:rPr>
        <w:t>4</w:t>
      </w:r>
      <w:r>
        <w:rPr>
          <w:rFonts w:hint="eastAsia"/>
        </w:rPr>
        <w:t>个业务品种。</w:t>
      </w:r>
    </w:p>
    <w:p w14:paraId="0E5BED21" w14:textId="77777777" w:rsidR="006755C3" w:rsidRDefault="006755C3" w:rsidP="00E37B63">
      <w:pPr>
        <w:ind w:firstLineChars="200" w:firstLine="440"/>
      </w:pPr>
    </w:p>
    <w:p w14:paraId="77A4C967" w14:textId="77777777" w:rsidR="006755C3" w:rsidRDefault="006755C3" w:rsidP="00E37B63">
      <w:pPr>
        <w:ind w:firstLineChars="200" w:firstLine="440"/>
      </w:pPr>
      <w:r>
        <w:rPr>
          <w:rFonts w:hint="eastAsia"/>
        </w:rPr>
        <w:t>（三）公益慈善信托</w:t>
      </w:r>
    </w:p>
    <w:p w14:paraId="07CF5A06" w14:textId="77777777" w:rsidR="006755C3" w:rsidRDefault="006755C3" w:rsidP="00E37B63">
      <w:pPr>
        <w:ind w:firstLineChars="200" w:firstLine="440"/>
      </w:pPr>
    </w:p>
    <w:p w14:paraId="38BD5758" w14:textId="77777777" w:rsidR="006755C3" w:rsidRDefault="006755C3" w:rsidP="00E37B63">
      <w:pPr>
        <w:ind w:firstLineChars="200" w:firstLine="440"/>
      </w:pPr>
      <w:r>
        <w:rPr>
          <w:rFonts w:hint="eastAsia"/>
        </w:rPr>
        <w:t>公益慈善信托是委托人基于公共利益目的，依法将其财产委托给信托公司，由信托公司按照委托人意愿以信托公司名义进行管理和处分，开展公益慈善活动的信托业务。公益慈善信托的信托财产及其收益，不得用于非公益目的。公益慈善信托按照信托目的，分为慈善信托和其他公益信托共</w:t>
      </w:r>
      <w:r>
        <w:rPr>
          <w:rFonts w:hint="eastAsia"/>
        </w:rPr>
        <w:t>2</w:t>
      </w:r>
      <w:r>
        <w:rPr>
          <w:rFonts w:hint="eastAsia"/>
        </w:rPr>
        <w:t>个业务品种。</w:t>
      </w:r>
    </w:p>
    <w:p w14:paraId="52CCA987" w14:textId="77777777" w:rsidR="006755C3" w:rsidRDefault="006755C3" w:rsidP="00E37B63">
      <w:pPr>
        <w:ind w:firstLineChars="200" w:firstLine="440"/>
      </w:pPr>
    </w:p>
    <w:p w14:paraId="109082BA" w14:textId="77777777" w:rsidR="006755C3" w:rsidRDefault="006755C3" w:rsidP="00E37B63">
      <w:pPr>
        <w:ind w:firstLineChars="200" w:firstLine="440"/>
      </w:pPr>
      <w:r>
        <w:rPr>
          <w:rFonts w:hint="eastAsia"/>
        </w:rPr>
        <w:t>三、落实信托公司主体责任</w:t>
      </w:r>
    </w:p>
    <w:p w14:paraId="12F3D584" w14:textId="77777777" w:rsidR="006755C3" w:rsidRDefault="006755C3" w:rsidP="00E37B63">
      <w:pPr>
        <w:ind w:firstLineChars="200" w:firstLine="440"/>
      </w:pPr>
    </w:p>
    <w:p w14:paraId="2F52E86B" w14:textId="77777777" w:rsidR="006755C3" w:rsidRDefault="006755C3" w:rsidP="00E37B63">
      <w:pPr>
        <w:ind w:firstLineChars="200" w:firstLine="440"/>
      </w:pPr>
      <w:r>
        <w:rPr>
          <w:rFonts w:hint="eastAsia"/>
        </w:rPr>
        <w:t>信托公司应当完善内部管理机制，做好业务分类工作，准确划分各类信托业务，并在此基础上明确发展战略和转型方向，增强受托服务意识和专业服务能力，以发挥信托独特功能、实现良好社会价值为导向，积极探索开展资产服务信托和公益慈善信托业务，规范开展符合信托本源特征、丰富直接融资方式的资产管理信托业务，提高竞争力和社会声誉，在有效防控风险的基础上实现高质量发展。</w:t>
      </w:r>
    </w:p>
    <w:p w14:paraId="1AAB24F1" w14:textId="77777777" w:rsidR="006755C3" w:rsidRDefault="006755C3" w:rsidP="00E37B63">
      <w:pPr>
        <w:ind w:firstLineChars="200" w:firstLine="440"/>
      </w:pPr>
    </w:p>
    <w:p w14:paraId="32B503C0" w14:textId="77777777" w:rsidR="006755C3" w:rsidRDefault="006755C3" w:rsidP="00E37B63">
      <w:pPr>
        <w:ind w:firstLineChars="200" w:firstLine="440"/>
      </w:pPr>
      <w:r>
        <w:rPr>
          <w:rFonts w:hint="eastAsia"/>
        </w:rPr>
        <w:t>（一）明确业务边界</w:t>
      </w:r>
    </w:p>
    <w:p w14:paraId="655D9A30" w14:textId="77777777" w:rsidR="006755C3" w:rsidRDefault="006755C3" w:rsidP="00E37B63">
      <w:pPr>
        <w:ind w:firstLineChars="200" w:firstLine="440"/>
      </w:pPr>
    </w:p>
    <w:p w14:paraId="52F1218A" w14:textId="77777777" w:rsidR="006755C3" w:rsidRDefault="006755C3" w:rsidP="00E37B63">
      <w:pPr>
        <w:ind w:firstLineChars="200" w:firstLine="440"/>
      </w:pPr>
      <w:r>
        <w:rPr>
          <w:rFonts w:hint="eastAsia"/>
        </w:rPr>
        <w:lastRenderedPageBreak/>
        <w:t>信托公司应当严格把握信托业务边界，不得以管理契约型私募基金形式开展资产管理信托业务，不得以信托业务形式开展为融资方服务的私募投行业务，不得以任何形式开展通道业务和资金池业务，不得以任何形式承诺信托财产不受损失或承诺最低收益，坚决压降影子银行风险突出的融资类信托业务。</w:t>
      </w:r>
    </w:p>
    <w:p w14:paraId="07A09FE0" w14:textId="77777777" w:rsidR="006755C3" w:rsidRDefault="006755C3" w:rsidP="00E37B63">
      <w:pPr>
        <w:ind w:firstLineChars="200" w:firstLine="440"/>
      </w:pPr>
    </w:p>
    <w:p w14:paraId="382207B4" w14:textId="77777777" w:rsidR="006755C3" w:rsidRDefault="006755C3" w:rsidP="00E37B63">
      <w:pPr>
        <w:ind w:firstLineChars="200" w:firstLine="440"/>
      </w:pPr>
      <w:r>
        <w:rPr>
          <w:rFonts w:hint="eastAsia"/>
        </w:rPr>
        <w:t>（二）提高分类质量</w:t>
      </w:r>
    </w:p>
    <w:p w14:paraId="0C8E4821" w14:textId="77777777" w:rsidR="006755C3" w:rsidRDefault="006755C3" w:rsidP="00E37B63">
      <w:pPr>
        <w:ind w:firstLineChars="200" w:firstLine="440"/>
      </w:pPr>
    </w:p>
    <w:p w14:paraId="4971D542" w14:textId="77777777" w:rsidR="006755C3" w:rsidRDefault="006755C3" w:rsidP="00E37B63">
      <w:pPr>
        <w:ind w:firstLineChars="200" w:firstLine="440"/>
      </w:pPr>
      <w:r>
        <w:rPr>
          <w:rFonts w:hint="eastAsia"/>
        </w:rPr>
        <w:t>信托公司应当按照本通知要求完善内部管理制度，结合监管要求和公司业务特点，细化分类标准，根据信托服务实质对信托业务进行全面、准确分类。信托公司不得擅自调节信托业务分类，同一信托业务不得同时归入多个类别。确有拟开展的新型信托业务无法归入现有类别的，应当与属地银保监会派出机构沟通，按照服务实质明确业务分类归属后开展。信托公司应当组织信托业务分类专题培训，确保相关人员熟知信托业务分类标准并准确分类，按照监管要求填报相关监管报表，确保报送数据准确性。</w:t>
      </w:r>
    </w:p>
    <w:p w14:paraId="2F0F1274" w14:textId="77777777" w:rsidR="006755C3" w:rsidRDefault="006755C3" w:rsidP="00E37B63">
      <w:pPr>
        <w:ind w:firstLineChars="200" w:firstLine="440"/>
      </w:pPr>
    </w:p>
    <w:p w14:paraId="7043BEEF" w14:textId="77777777" w:rsidR="006755C3" w:rsidRDefault="006755C3" w:rsidP="00E37B63">
      <w:pPr>
        <w:ind w:firstLineChars="200" w:firstLine="440"/>
      </w:pPr>
      <w:r>
        <w:rPr>
          <w:rFonts w:hint="eastAsia"/>
        </w:rPr>
        <w:t>（三）完善内控机制</w:t>
      </w:r>
    </w:p>
    <w:p w14:paraId="7200CC02" w14:textId="77777777" w:rsidR="006755C3" w:rsidRDefault="006755C3" w:rsidP="00E37B63">
      <w:pPr>
        <w:ind w:firstLineChars="200" w:firstLine="440"/>
      </w:pPr>
    </w:p>
    <w:p w14:paraId="239F6C3A" w14:textId="77777777" w:rsidR="006755C3" w:rsidRDefault="006755C3" w:rsidP="00E37B63">
      <w:pPr>
        <w:ind w:firstLineChars="200" w:firstLine="440"/>
      </w:pPr>
      <w:r>
        <w:rPr>
          <w:rFonts w:hint="eastAsia"/>
        </w:rPr>
        <w:t>信托公司应当将信托业务分类纳入内部控制体系，明确归口管理部门以及业务部门、合规管理部门、内部审计部门等职责，完善信息系统，为做好信托业务分类提供必要的资源和保障。信托公司应当建立信托业务分类定期监测排查机制，加强合规管理和数据核验，确保信托业务持续符合分类标准和监管要求。信托公司应当建立追责问责机制，对重大差错予以严肃问责。</w:t>
      </w:r>
    </w:p>
    <w:p w14:paraId="3607BE85" w14:textId="77777777" w:rsidR="006755C3" w:rsidRDefault="006755C3" w:rsidP="00E37B63">
      <w:pPr>
        <w:ind w:firstLineChars="200" w:firstLine="440"/>
      </w:pPr>
    </w:p>
    <w:p w14:paraId="6224B8CD" w14:textId="77777777" w:rsidR="006755C3" w:rsidRDefault="006755C3" w:rsidP="00E37B63">
      <w:pPr>
        <w:ind w:firstLineChars="200" w:firstLine="440"/>
      </w:pPr>
      <w:r>
        <w:rPr>
          <w:rFonts w:hint="eastAsia"/>
        </w:rPr>
        <w:t>（四）有序实施整改</w:t>
      </w:r>
    </w:p>
    <w:p w14:paraId="35D26B10" w14:textId="77777777" w:rsidR="006755C3" w:rsidRDefault="006755C3" w:rsidP="00E37B63">
      <w:pPr>
        <w:ind w:firstLineChars="200" w:firstLine="440"/>
      </w:pPr>
    </w:p>
    <w:p w14:paraId="64620F70" w14:textId="77777777" w:rsidR="006755C3" w:rsidRDefault="006755C3" w:rsidP="00E37B63">
      <w:pPr>
        <w:ind w:firstLineChars="200" w:firstLine="440"/>
      </w:pPr>
      <w:r>
        <w:rPr>
          <w:rFonts w:hint="eastAsia"/>
        </w:rPr>
        <w:t>为有序实施存量业务整改，确保平稳过渡，本通知设置</w:t>
      </w:r>
      <w:r>
        <w:rPr>
          <w:rFonts w:hint="eastAsia"/>
        </w:rPr>
        <w:t>3</w:t>
      </w:r>
      <w:r>
        <w:rPr>
          <w:rFonts w:hint="eastAsia"/>
        </w:rPr>
        <w:t>年过渡期。过渡期结束后存在实际困难，仍难以完成整改的，可实施个案处理。对于契约型私募基金业务，按照严禁新增、存量自然到期方式有序清零。对于其他不符合本通知要求的信托业务，单设“待整改业务”一项，有序实施整改。信托公司应当在准确分类基础上充分识别待整改业务，制定整改计划，明确时间进度安排，待整改业务规模应当严格控制在</w:t>
      </w:r>
      <w:r>
        <w:rPr>
          <w:rFonts w:hint="eastAsia"/>
        </w:rPr>
        <w:t>2022</w:t>
      </w:r>
      <w:r>
        <w:rPr>
          <w:rFonts w:hint="eastAsia"/>
        </w:rPr>
        <w:t>年</w:t>
      </w:r>
      <w:r>
        <w:rPr>
          <w:rFonts w:hint="eastAsia"/>
        </w:rPr>
        <w:t>12</w:t>
      </w:r>
      <w:r>
        <w:rPr>
          <w:rFonts w:hint="eastAsia"/>
        </w:rPr>
        <w:t>月</w:t>
      </w:r>
      <w:r>
        <w:rPr>
          <w:rFonts w:hint="eastAsia"/>
        </w:rPr>
        <w:t>31</w:t>
      </w:r>
      <w:r>
        <w:rPr>
          <w:rFonts w:hint="eastAsia"/>
        </w:rPr>
        <w:t>日存量整体规模内并有序压缩递减，防止过渡期结束时出现断崖效应。已纳入资管新规过渡期结束后个案处理范围的信托业务，应当纳入待整改业务，按照资管新规有关要求及前期已报送的整改计划继续整改。</w:t>
      </w:r>
    </w:p>
    <w:p w14:paraId="20F73898" w14:textId="77777777" w:rsidR="006755C3" w:rsidRDefault="006755C3" w:rsidP="00E37B63">
      <w:pPr>
        <w:ind w:firstLineChars="200" w:firstLine="440"/>
      </w:pPr>
    </w:p>
    <w:p w14:paraId="4742F131" w14:textId="77777777" w:rsidR="006755C3" w:rsidRDefault="006755C3" w:rsidP="00E37B63">
      <w:pPr>
        <w:ind w:firstLineChars="200" w:firstLine="440"/>
      </w:pPr>
      <w:r>
        <w:rPr>
          <w:rFonts w:hint="eastAsia"/>
        </w:rPr>
        <w:t>四、加强监管引领</w:t>
      </w:r>
    </w:p>
    <w:p w14:paraId="6E2BB3B3" w14:textId="77777777" w:rsidR="006755C3" w:rsidRDefault="006755C3" w:rsidP="00E37B63">
      <w:pPr>
        <w:ind w:firstLineChars="200" w:firstLine="440"/>
      </w:pPr>
    </w:p>
    <w:p w14:paraId="1D99BE22" w14:textId="77777777" w:rsidR="006755C3" w:rsidRDefault="006755C3" w:rsidP="00E37B63">
      <w:pPr>
        <w:ind w:firstLineChars="200" w:firstLine="440"/>
      </w:pPr>
      <w:r>
        <w:rPr>
          <w:rFonts w:hint="eastAsia"/>
        </w:rPr>
        <w:t>（一）完善监管规则</w:t>
      </w:r>
    </w:p>
    <w:p w14:paraId="2E1FEB9B" w14:textId="77777777" w:rsidR="006755C3" w:rsidRDefault="006755C3" w:rsidP="00E37B63">
      <w:pPr>
        <w:ind w:firstLineChars="200" w:firstLine="440"/>
      </w:pPr>
    </w:p>
    <w:p w14:paraId="199E5734" w14:textId="77777777" w:rsidR="006755C3" w:rsidRDefault="006755C3" w:rsidP="00E37B63">
      <w:pPr>
        <w:ind w:firstLineChars="200" w:firstLine="440"/>
      </w:pPr>
      <w:r>
        <w:rPr>
          <w:rFonts w:hint="eastAsia"/>
        </w:rPr>
        <w:t>银保监会根据信托业务发展情况，制定完善各类信托业务具体监管规则，研究完善信托公司分级分类监管制度，持续完善资本管理、信托保障基金筹集、信托产品登记等配套机制，修订非现场监管报表，保障信托业务分类工作有序落地。</w:t>
      </w:r>
    </w:p>
    <w:p w14:paraId="6A841AB6" w14:textId="77777777" w:rsidR="006755C3" w:rsidRDefault="006755C3" w:rsidP="00E37B63">
      <w:pPr>
        <w:ind w:firstLineChars="200" w:firstLine="440"/>
      </w:pPr>
    </w:p>
    <w:p w14:paraId="6901BA7D" w14:textId="77777777" w:rsidR="006755C3" w:rsidRDefault="006755C3" w:rsidP="00E37B63">
      <w:pPr>
        <w:ind w:firstLineChars="200" w:firstLine="440"/>
      </w:pPr>
      <w:r>
        <w:rPr>
          <w:rFonts w:hint="eastAsia"/>
        </w:rPr>
        <w:lastRenderedPageBreak/>
        <w:t>（二）加强日常监管</w:t>
      </w:r>
    </w:p>
    <w:p w14:paraId="025C4FB7" w14:textId="77777777" w:rsidR="006755C3" w:rsidRDefault="006755C3" w:rsidP="00E37B63">
      <w:pPr>
        <w:ind w:firstLineChars="200" w:firstLine="440"/>
      </w:pPr>
    </w:p>
    <w:p w14:paraId="2A6ACE16" w14:textId="77777777" w:rsidR="006755C3" w:rsidRDefault="006755C3" w:rsidP="00E37B63">
      <w:pPr>
        <w:ind w:firstLineChars="200" w:firstLine="440"/>
      </w:pPr>
      <w:r>
        <w:rPr>
          <w:rFonts w:hint="eastAsia"/>
        </w:rPr>
        <w:t>各银保监局应当督促指导辖内信托公司按照本通知要求完善内部管理机制，对存量信托业务准确分类、有序整改。各银保监局应当通过非现场监管和现场检查等方式，对信托业务分类准确性及展业合规性实施持续监管，防止监管套利。各银保监局应当提高监管主动性和前瞻性，及时、准确发现违规问题并采取有针对性的纠正措施，责成信托公司限期整改，逾期未整改的，应当依法采取暂停业务等审慎监管措施，并要求信托公司严肃处理责任人员。</w:t>
      </w:r>
    </w:p>
    <w:p w14:paraId="5E70FB15" w14:textId="77777777" w:rsidR="006755C3" w:rsidRDefault="006755C3" w:rsidP="00E37B63">
      <w:pPr>
        <w:ind w:firstLineChars="200" w:firstLine="440"/>
      </w:pPr>
    </w:p>
    <w:p w14:paraId="2F5D4459" w14:textId="77777777" w:rsidR="006755C3" w:rsidRDefault="006755C3" w:rsidP="00E37B63">
      <w:pPr>
        <w:ind w:firstLineChars="200" w:firstLine="440"/>
      </w:pPr>
      <w:r>
        <w:rPr>
          <w:rFonts w:hint="eastAsia"/>
        </w:rPr>
        <w:t>（三）加强宣传引导</w:t>
      </w:r>
    </w:p>
    <w:p w14:paraId="2813DD81" w14:textId="77777777" w:rsidR="006755C3" w:rsidRDefault="006755C3" w:rsidP="00E37B63">
      <w:pPr>
        <w:ind w:firstLineChars="200" w:firstLine="440"/>
      </w:pPr>
    </w:p>
    <w:p w14:paraId="1D25692B" w14:textId="77777777" w:rsidR="006755C3" w:rsidRDefault="006755C3" w:rsidP="00E37B63">
      <w:pPr>
        <w:ind w:firstLineChars="200" w:firstLine="440"/>
      </w:pPr>
      <w:r>
        <w:rPr>
          <w:rFonts w:hint="eastAsia"/>
        </w:rPr>
        <w:t>各银保监局应当指导辖内信托公司加强金融消费者教育，引导金融消费者正确认识信托关系实质和信托业务风险特征，树立信托产品打破刚性兑付的风险意识。信托业协会应当加强宣传引导，组织信托公司自觉落实相关要求，普及信托相关知识，提高社会各界对各类信托业务的认知度。</w:t>
      </w:r>
    </w:p>
    <w:p w14:paraId="3F405F27" w14:textId="77777777" w:rsidR="006755C3" w:rsidRDefault="006755C3" w:rsidP="00E37B63">
      <w:pPr>
        <w:ind w:firstLineChars="200" w:firstLine="440"/>
      </w:pPr>
    </w:p>
    <w:p w14:paraId="238F2E6A" w14:textId="77777777" w:rsidR="006755C3" w:rsidRDefault="006755C3" w:rsidP="00E37B63">
      <w:pPr>
        <w:ind w:firstLineChars="200" w:firstLine="440"/>
      </w:pPr>
      <w:r>
        <w:rPr>
          <w:rFonts w:hint="eastAsia"/>
        </w:rPr>
        <w:t>本通知自</w:t>
      </w:r>
      <w:r>
        <w:rPr>
          <w:rFonts w:hint="eastAsia"/>
        </w:rPr>
        <w:t>2023</w:t>
      </w:r>
      <w:r>
        <w:rPr>
          <w:rFonts w:hint="eastAsia"/>
        </w:rPr>
        <w:t>年</w:t>
      </w:r>
      <w:r>
        <w:rPr>
          <w:rFonts w:hint="eastAsia"/>
        </w:rPr>
        <w:t>6</w:t>
      </w:r>
      <w:r>
        <w:rPr>
          <w:rFonts w:hint="eastAsia"/>
        </w:rPr>
        <w:t>月</w:t>
      </w:r>
      <w:r>
        <w:rPr>
          <w:rFonts w:hint="eastAsia"/>
        </w:rPr>
        <w:t>1</w:t>
      </w:r>
      <w:r>
        <w:rPr>
          <w:rFonts w:hint="eastAsia"/>
        </w:rPr>
        <w:t>日起实施。本通知实施前公布的规范性文件与本通知规定不一致的，以本通知为准。各信托公司应当于本通知实施后</w:t>
      </w:r>
      <w:r>
        <w:rPr>
          <w:rFonts w:hint="eastAsia"/>
        </w:rPr>
        <w:t>30</w:t>
      </w:r>
      <w:r>
        <w:rPr>
          <w:rFonts w:hint="eastAsia"/>
        </w:rPr>
        <w:t>日内将存续信托业务分类结果和整改计划报送属地银保监会派出机构。</w:t>
      </w:r>
    </w:p>
    <w:p w14:paraId="0FCD42CD" w14:textId="77777777" w:rsidR="006755C3" w:rsidRDefault="006755C3" w:rsidP="006755C3"/>
    <w:p w14:paraId="50885ADC" w14:textId="76E4DCF4" w:rsidR="006755C3" w:rsidRDefault="006755C3" w:rsidP="006755C3">
      <w:r>
        <w:rPr>
          <w:rFonts w:hint="eastAsia"/>
        </w:rPr>
        <w:t>附件：</w:t>
      </w:r>
      <w:hyperlink r:id="rId6" w:history="1">
        <w:r w:rsidRPr="00E37B63">
          <w:rPr>
            <w:rStyle w:val="a3"/>
            <w:rFonts w:hint="eastAsia"/>
          </w:rPr>
          <w:t>1.</w:t>
        </w:r>
        <w:r w:rsidRPr="00E37B63">
          <w:rPr>
            <w:rStyle w:val="a3"/>
            <w:rFonts w:hint="eastAsia"/>
          </w:rPr>
          <w:t>信托公司信托业务具体分类要求</w:t>
        </w:r>
      </w:hyperlink>
    </w:p>
    <w:p w14:paraId="52C8C7D9" w14:textId="7DC5E06E" w:rsidR="006755C3" w:rsidRDefault="00E37B63" w:rsidP="00C34046">
      <w:pPr>
        <w:ind w:firstLineChars="300" w:firstLine="660"/>
      </w:pPr>
      <w:hyperlink r:id="rId7" w:history="1">
        <w:r w:rsidR="006755C3" w:rsidRPr="00E37B63">
          <w:rPr>
            <w:rStyle w:val="a3"/>
            <w:rFonts w:hint="eastAsia"/>
          </w:rPr>
          <w:t>2.</w:t>
        </w:r>
        <w:r w:rsidR="006755C3" w:rsidRPr="00E37B63">
          <w:rPr>
            <w:rStyle w:val="a3"/>
            <w:rFonts w:hint="eastAsia"/>
          </w:rPr>
          <w:t>信托公司信托业务新分类简表</w:t>
        </w:r>
      </w:hyperlink>
    </w:p>
    <w:p w14:paraId="398C1CE4" w14:textId="77777777" w:rsidR="006755C3" w:rsidRDefault="006755C3" w:rsidP="006755C3"/>
    <w:p w14:paraId="4F3D3610" w14:textId="2B3FE29C" w:rsidR="006755C3" w:rsidRDefault="006755C3" w:rsidP="00C34046">
      <w:pPr>
        <w:jc w:val="right"/>
      </w:pPr>
      <w:r>
        <w:rPr>
          <w:rFonts w:hint="eastAsia"/>
        </w:rPr>
        <w:t>中国银保监会</w:t>
      </w:r>
    </w:p>
    <w:p w14:paraId="6430CA43" w14:textId="4CE53DE2" w:rsidR="006755C3" w:rsidRDefault="006755C3" w:rsidP="00C34046">
      <w:pPr>
        <w:jc w:val="right"/>
      </w:pPr>
      <w:r>
        <w:rPr>
          <w:rFonts w:hint="eastAsia"/>
        </w:rPr>
        <w:t>2023</w:t>
      </w:r>
      <w:r>
        <w:rPr>
          <w:rFonts w:hint="eastAsia"/>
        </w:rPr>
        <w:t>年</w:t>
      </w:r>
      <w:r>
        <w:rPr>
          <w:rFonts w:hint="eastAsia"/>
        </w:rPr>
        <w:t>3</w:t>
      </w:r>
      <w:r>
        <w:rPr>
          <w:rFonts w:hint="eastAsia"/>
        </w:rPr>
        <w:t>月</w:t>
      </w:r>
      <w:r>
        <w:rPr>
          <w:rFonts w:hint="eastAsia"/>
        </w:rPr>
        <w:t>20</w:t>
      </w:r>
      <w:r>
        <w:rPr>
          <w:rFonts w:hint="eastAsia"/>
        </w:rPr>
        <w:t>日</w:t>
      </w:r>
    </w:p>
    <w:p w14:paraId="3ECC559D" w14:textId="77777777" w:rsidR="006755C3" w:rsidRDefault="006755C3" w:rsidP="006755C3"/>
    <w:p w14:paraId="6C8FE7BE" w14:textId="7B5B62D0" w:rsidR="006755C3" w:rsidRDefault="006755C3" w:rsidP="00E37B63">
      <w:r>
        <w:rPr>
          <w:rFonts w:hint="eastAsia"/>
        </w:rPr>
        <w:t>（此件发至辖内有信托公司的银保监分局和各信托公司）</w:t>
      </w:r>
    </w:p>
    <w:p w14:paraId="39D5862C" w14:textId="5936C069" w:rsidR="00F45EEB" w:rsidRDefault="00F45EEB" w:rsidP="006755C3"/>
    <w:p w14:paraId="24805CE1" w14:textId="77777777" w:rsidR="00514CD4" w:rsidRDefault="00514CD4" w:rsidP="006755C3"/>
    <w:p w14:paraId="231CC8CC" w14:textId="77777777" w:rsidR="00C34046" w:rsidRDefault="00C34046" w:rsidP="006755C3">
      <w:r>
        <w:rPr>
          <w:rFonts w:hint="eastAsia"/>
        </w:rPr>
        <w:t>信息来源：</w:t>
      </w:r>
    </w:p>
    <w:p w14:paraId="783BE753" w14:textId="6EBFBD1A" w:rsidR="00C34046" w:rsidRDefault="00000000" w:rsidP="006755C3">
      <w:hyperlink r:id="rId8" w:history="1">
        <w:r w:rsidR="00C34046" w:rsidRPr="007C088E">
          <w:rPr>
            <w:rStyle w:val="a3"/>
          </w:rPr>
          <w:t>https://www.cbirc.gov.cn/cn/view/pages/governmentDetail.html?docId=1101453&amp;itemId=861&amp;generaltype=1</w:t>
        </w:r>
      </w:hyperlink>
    </w:p>
    <w:p w14:paraId="714BAECA" w14:textId="77777777" w:rsidR="00C34046" w:rsidRPr="00C34046" w:rsidRDefault="00C34046" w:rsidP="006755C3"/>
    <w:sectPr w:rsidR="00C34046" w:rsidRPr="00C34046" w:rsidSect="004D031A">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22578" w14:textId="77777777" w:rsidR="00211C76" w:rsidRDefault="00211C76" w:rsidP="00514CD4">
      <w:pPr>
        <w:spacing w:line="240" w:lineRule="auto"/>
      </w:pPr>
      <w:r>
        <w:separator/>
      </w:r>
    </w:p>
  </w:endnote>
  <w:endnote w:type="continuationSeparator" w:id="0">
    <w:p w14:paraId="5E7119FA" w14:textId="77777777" w:rsidR="00211C76" w:rsidRDefault="00211C76" w:rsidP="00514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8A61" w14:textId="77777777" w:rsidR="00211C76" w:rsidRDefault="00211C76" w:rsidP="00514CD4">
      <w:pPr>
        <w:spacing w:line="240" w:lineRule="auto"/>
      </w:pPr>
      <w:r>
        <w:separator/>
      </w:r>
    </w:p>
  </w:footnote>
  <w:footnote w:type="continuationSeparator" w:id="0">
    <w:p w14:paraId="45DC2911" w14:textId="77777777" w:rsidR="00211C76" w:rsidRDefault="00211C76" w:rsidP="00514C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755C3"/>
    <w:rsid w:val="000B1338"/>
    <w:rsid w:val="00211C76"/>
    <w:rsid w:val="003504FE"/>
    <w:rsid w:val="004D031A"/>
    <w:rsid w:val="00514CD4"/>
    <w:rsid w:val="006755C3"/>
    <w:rsid w:val="00B41EDF"/>
    <w:rsid w:val="00C34046"/>
    <w:rsid w:val="00E37B63"/>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79C91B"/>
  <w15:chartTrackingRefBased/>
  <w15:docId w15:val="{AE785891-7375-4E87-9780-B0092B517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宋体" w:hAnsi="Arial" w:cstheme="minorBidi"/>
        <w:kern w:val="2"/>
        <w:sz w:val="22"/>
        <w:szCs w:val="22"/>
        <w:lang w:val="en-US" w:eastAsia="zh-C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4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4046"/>
    <w:rPr>
      <w:color w:val="0563C1" w:themeColor="hyperlink"/>
      <w:u w:val="single"/>
    </w:rPr>
  </w:style>
  <w:style w:type="character" w:styleId="a4">
    <w:name w:val="Unresolved Mention"/>
    <w:basedOn w:val="a0"/>
    <w:uiPriority w:val="99"/>
    <w:semiHidden/>
    <w:unhideWhenUsed/>
    <w:rsid w:val="00C34046"/>
    <w:rPr>
      <w:color w:val="605E5C"/>
      <w:shd w:val="clear" w:color="auto" w:fill="E1DFDD"/>
    </w:rPr>
  </w:style>
  <w:style w:type="paragraph" w:styleId="a5">
    <w:name w:val="header"/>
    <w:basedOn w:val="a"/>
    <w:link w:val="a6"/>
    <w:uiPriority w:val="99"/>
    <w:unhideWhenUsed/>
    <w:rsid w:val="00514CD4"/>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514CD4"/>
    <w:rPr>
      <w:sz w:val="18"/>
      <w:szCs w:val="18"/>
    </w:rPr>
  </w:style>
  <w:style w:type="paragraph" w:styleId="a7">
    <w:name w:val="footer"/>
    <w:basedOn w:val="a"/>
    <w:link w:val="a8"/>
    <w:uiPriority w:val="99"/>
    <w:unhideWhenUsed/>
    <w:rsid w:val="00514CD4"/>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514CD4"/>
    <w:rPr>
      <w:sz w:val="18"/>
      <w:szCs w:val="18"/>
    </w:rPr>
  </w:style>
  <w:style w:type="character" w:styleId="a9">
    <w:name w:val="FollowedHyperlink"/>
    <w:basedOn w:val="a0"/>
    <w:uiPriority w:val="99"/>
    <w:semiHidden/>
    <w:unhideWhenUsed/>
    <w:rsid w:val="00E37B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70302">
      <w:bodyDiv w:val="1"/>
      <w:marLeft w:val="0"/>
      <w:marRight w:val="0"/>
      <w:marTop w:val="0"/>
      <w:marBottom w:val="0"/>
      <w:divBdr>
        <w:top w:val="none" w:sz="0" w:space="0" w:color="auto"/>
        <w:left w:val="none" w:sz="0" w:space="0" w:color="auto"/>
        <w:bottom w:val="none" w:sz="0" w:space="0" w:color="auto"/>
        <w:right w:val="none" w:sz="0" w:space="0" w:color="auto"/>
      </w:divBdr>
      <w:divsChild>
        <w:div w:id="35131228">
          <w:marLeft w:val="375"/>
          <w:marRight w:val="375"/>
          <w:marTop w:val="300"/>
          <w:marBottom w:val="300"/>
          <w:divBdr>
            <w:top w:val="none" w:sz="0" w:space="0" w:color="auto"/>
            <w:left w:val="none" w:sz="0" w:space="0" w:color="auto"/>
            <w:bottom w:val="none" w:sz="0" w:space="0" w:color="auto"/>
            <w:right w:val="none" w:sz="0" w:space="0" w:color="auto"/>
          </w:divBdr>
        </w:div>
        <w:div w:id="873690921">
          <w:marLeft w:val="375"/>
          <w:marRight w:val="0"/>
          <w:marTop w:val="375"/>
          <w:marBottom w:val="0"/>
          <w:divBdr>
            <w:top w:val="none" w:sz="0" w:space="0" w:color="auto"/>
            <w:left w:val="none" w:sz="0" w:space="0" w:color="auto"/>
            <w:bottom w:val="none" w:sz="0" w:space="0" w:color="auto"/>
            <w:right w:val="none" w:sz="0" w:space="0" w:color="auto"/>
          </w:divBdr>
          <w:divsChild>
            <w:div w:id="913128042">
              <w:marLeft w:val="0"/>
              <w:marRight w:val="0"/>
              <w:marTop w:val="0"/>
              <w:marBottom w:val="0"/>
              <w:divBdr>
                <w:top w:val="none" w:sz="0" w:space="0" w:color="auto"/>
                <w:left w:val="none" w:sz="0" w:space="0" w:color="auto"/>
                <w:bottom w:val="none" w:sz="0" w:space="0" w:color="auto"/>
                <w:right w:val="none" w:sz="0" w:space="0" w:color="auto"/>
              </w:divBdr>
            </w:div>
          </w:divsChild>
        </w:div>
        <w:div w:id="367219355">
          <w:marLeft w:val="300"/>
          <w:marRight w:val="300"/>
          <w:marTop w:val="15"/>
          <w:marBottom w:val="15"/>
          <w:divBdr>
            <w:top w:val="none" w:sz="0" w:space="0" w:color="auto"/>
            <w:left w:val="none" w:sz="0" w:space="0" w:color="auto"/>
            <w:bottom w:val="none" w:sz="0" w:space="0" w:color="auto"/>
            <w:right w:val="none" w:sz="0" w:space="0" w:color="auto"/>
          </w:divBdr>
          <w:divsChild>
            <w:div w:id="304119257">
              <w:marLeft w:val="0"/>
              <w:marRight w:val="0"/>
              <w:marTop w:val="0"/>
              <w:marBottom w:val="0"/>
              <w:divBdr>
                <w:top w:val="none" w:sz="0" w:space="0" w:color="auto"/>
                <w:left w:val="none" w:sz="0" w:space="0" w:color="auto"/>
                <w:bottom w:val="none" w:sz="0" w:space="0" w:color="auto"/>
                <w:right w:val="none" w:sz="0" w:space="0" w:color="auto"/>
              </w:divBdr>
            </w:div>
          </w:divsChild>
        </w:div>
        <w:div w:id="474105577">
          <w:marLeft w:val="300"/>
          <w:marRight w:val="300"/>
          <w:marTop w:val="15"/>
          <w:marBottom w:val="15"/>
          <w:divBdr>
            <w:top w:val="none" w:sz="0" w:space="0" w:color="auto"/>
            <w:left w:val="none" w:sz="0" w:space="0" w:color="auto"/>
            <w:bottom w:val="none" w:sz="0" w:space="0" w:color="auto"/>
            <w:right w:val="none" w:sz="0" w:space="0" w:color="auto"/>
          </w:divBdr>
          <w:divsChild>
            <w:div w:id="5815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irc.gov.cn/cn/view/pages/governmentDetail.html?docId=1101453&amp;itemId=861&amp;generaltype=1" TargetMode="External"/><Relationship Id="rId3" Type="http://schemas.openxmlformats.org/officeDocument/2006/relationships/webSettings" Target="webSettings.xml"/><Relationship Id="rId7" Type="http://schemas.openxmlformats.org/officeDocument/2006/relationships/hyperlink" Target="http://centrum.hhp.com.cn/newlaw/20230330004_02.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30330004_01.do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2023-03-28T02:14:00Z</dcterms:created>
  <dcterms:modified xsi:type="dcterms:W3CDTF">2023-03-31T05:32:00Z</dcterms:modified>
</cp:coreProperties>
</file>