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587B" w14:textId="29CC7C00" w:rsidR="004B62C4" w:rsidRPr="00AE1D4E" w:rsidRDefault="004B62C4" w:rsidP="00AE1D4E">
      <w:pPr>
        <w:jc w:val="center"/>
        <w:rPr>
          <w:rFonts w:cs="Times New Roman"/>
          <w:b/>
          <w:bCs/>
          <w:color w:val="E36C0A"/>
          <w:sz w:val="32"/>
          <w:szCs w:val="32"/>
        </w:rPr>
      </w:pPr>
      <w:bookmarkStart w:id="0" w:name="_Hlk128664649"/>
      <w:r w:rsidRPr="00AE1D4E">
        <w:rPr>
          <w:rFonts w:cs="Times New Roman" w:hint="eastAsia"/>
          <w:b/>
          <w:bCs/>
          <w:color w:val="E36C0A"/>
          <w:sz w:val="32"/>
          <w:szCs w:val="32"/>
        </w:rPr>
        <w:t>修订后的《私募投资基金登记备案办法》及配套指引</w:t>
      </w:r>
    </w:p>
    <w:bookmarkEnd w:id="0"/>
    <w:p w14:paraId="34BA92E8" w14:textId="77777777" w:rsidR="004B62C4" w:rsidRDefault="004B62C4" w:rsidP="004B62C4"/>
    <w:p w14:paraId="1C504ED6" w14:textId="2781AC45" w:rsidR="004B62C4" w:rsidRDefault="004B62C4" w:rsidP="005C192A">
      <w:pPr>
        <w:ind w:firstLineChars="200" w:firstLine="440"/>
      </w:pPr>
      <w:r>
        <w:rPr>
          <w:rFonts w:hint="eastAsia"/>
        </w:rPr>
        <w:t>近日，为进一步优化登记备案和自律管理工作，引导私募基金行业高质量发展，基金业协会发布修订后的《私募投资基金登记备案办法》（以下简称《办法》）及配套指引。</w:t>
      </w:r>
    </w:p>
    <w:p w14:paraId="4FED2DA6" w14:textId="77777777" w:rsidR="004B62C4" w:rsidRDefault="004B62C4" w:rsidP="004B62C4"/>
    <w:p w14:paraId="58FD2533" w14:textId="77777777" w:rsidR="004B62C4" w:rsidRDefault="004B62C4" w:rsidP="005C192A">
      <w:pPr>
        <w:ind w:firstLineChars="200" w:firstLine="440"/>
      </w:pPr>
      <w:r>
        <w:rPr>
          <w:rFonts w:hint="eastAsia"/>
        </w:rPr>
        <w:t>前期，基金业协会已就《办法》及配套指引向社会公开征求了意见，市场各方对规则的基本思路和主要内容表示认同和支持，认为有利于规范私募基金活动，营造更好的发展环境，推动私募基金更好地发挥服务实体经济、促进科技创新、调整经济结构、增加国民财富、增强市场韧性和行业活力等功能作用。基金业协会认真研究了各方面反馈的意见建议，多数意见经评估后予以吸收采纳。</w:t>
      </w:r>
    </w:p>
    <w:p w14:paraId="028904F3" w14:textId="77777777" w:rsidR="004B62C4" w:rsidRDefault="004B62C4" w:rsidP="004B62C4"/>
    <w:p w14:paraId="5D8F9593" w14:textId="77777777" w:rsidR="004B62C4" w:rsidRDefault="004B62C4" w:rsidP="005C192A">
      <w:pPr>
        <w:ind w:firstLineChars="200" w:firstLine="440"/>
      </w:pPr>
      <w:r>
        <w:rPr>
          <w:rFonts w:hint="eastAsia"/>
        </w:rPr>
        <w:t>修订后的《办法》共六章八十三条，主要内容包括：一是适度完善登记规范标准，对私募基金管理人及其出资人、实际控制人、高管人员等关键主体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规范要求。二是明确基金业务规范，把握募、投、管、退等关键环节，强化行业合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运作。三是健全制度机制，强化穿透式核查，加强信息披露和报送等事中事后自律管理。四是实施差异化自律管理，落实扶优限劣理念，增加行业获得感。五是完善自律手段，加强对“伪、劣、乱”私募的有效治理，遏制行业乱象，净化行业生态。</w:t>
      </w:r>
    </w:p>
    <w:p w14:paraId="686A0431" w14:textId="77777777" w:rsidR="004B62C4" w:rsidRDefault="004B62C4" w:rsidP="004B62C4"/>
    <w:p w14:paraId="462FA9D6" w14:textId="77777777" w:rsidR="004B62C4" w:rsidRDefault="004B62C4" w:rsidP="005C192A">
      <w:pPr>
        <w:ind w:firstLineChars="200" w:firstLine="440"/>
      </w:pPr>
      <w:r>
        <w:rPr>
          <w:rFonts w:hint="eastAsia"/>
        </w:rPr>
        <w:t>下一步，基金业协会将认真落实《办法》及配套指引，持续优化登记备案工作，切实保护投资者合法权益，加快推进私募基金行业高质量发展。</w:t>
      </w:r>
    </w:p>
    <w:p w14:paraId="5D612328" w14:textId="77777777" w:rsidR="004B62C4" w:rsidRDefault="004B62C4" w:rsidP="004B62C4"/>
    <w:p w14:paraId="64F36097" w14:textId="6E0511CE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5C192A">
          <w:rPr>
            <w:rStyle w:val="a3"/>
            <w:rFonts w:hint="eastAsia"/>
          </w:rPr>
          <w:t>私募投资基金登记备案办法</w:t>
        </w:r>
      </w:hyperlink>
    </w:p>
    <w:p w14:paraId="67CD7E0F" w14:textId="0EB53F12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5C192A">
          <w:rPr>
            <w:rStyle w:val="a3"/>
            <w:rFonts w:hint="eastAsia"/>
          </w:rPr>
          <w:t>私募基金管理人登记指引第</w:t>
        </w:r>
        <w:r w:rsidRPr="005C192A">
          <w:rPr>
            <w:rStyle w:val="a3"/>
            <w:rFonts w:hint="eastAsia"/>
          </w:rPr>
          <w:t>1</w:t>
        </w:r>
        <w:r w:rsidRPr="005C192A">
          <w:rPr>
            <w:rStyle w:val="a3"/>
            <w:rFonts w:hint="eastAsia"/>
          </w:rPr>
          <w:t>号</w:t>
        </w:r>
        <w:r w:rsidRPr="005C192A">
          <w:rPr>
            <w:rStyle w:val="a3"/>
            <w:rFonts w:hint="eastAsia"/>
          </w:rPr>
          <w:t xml:space="preserve"> </w:t>
        </w:r>
        <w:r w:rsidRPr="005C192A">
          <w:rPr>
            <w:rStyle w:val="a3"/>
            <w:rFonts w:hint="eastAsia"/>
          </w:rPr>
          <w:t>——基本经营要求</w:t>
        </w:r>
      </w:hyperlink>
    </w:p>
    <w:p w14:paraId="5169F34B" w14:textId="4EDDFCCD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hyperlink r:id="rId8" w:history="1">
        <w:r w:rsidRPr="005C192A">
          <w:rPr>
            <w:rStyle w:val="a3"/>
            <w:rFonts w:hint="eastAsia"/>
          </w:rPr>
          <w:t>私募基金管理人登记指引第</w:t>
        </w:r>
        <w:r w:rsidRPr="005C192A">
          <w:rPr>
            <w:rStyle w:val="a3"/>
            <w:rFonts w:hint="eastAsia"/>
          </w:rPr>
          <w:t>2</w:t>
        </w:r>
        <w:r w:rsidRPr="005C192A">
          <w:rPr>
            <w:rStyle w:val="a3"/>
            <w:rFonts w:hint="eastAsia"/>
          </w:rPr>
          <w:t>号——股东、合伙人、实际控制人</w:t>
        </w:r>
      </w:hyperlink>
    </w:p>
    <w:p w14:paraId="68A76906" w14:textId="45F2D8CA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  <w:hyperlink r:id="rId9" w:history="1">
        <w:r w:rsidRPr="005C192A">
          <w:rPr>
            <w:rStyle w:val="a3"/>
            <w:rFonts w:hint="eastAsia"/>
          </w:rPr>
          <w:t>私募基金管理人登记指引第</w:t>
        </w:r>
        <w:r w:rsidRPr="005C192A">
          <w:rPr>
            <w:rStyle w:val="a3"/>
            <w:rFonts w:hint="eastAsia"/>
          </w:rPr>
          <w:t>3</w:t>
        </w:r>
        <w:r w:rsidRPr="005C192A">
          <w:rPr>
            <w:rStyle w:val="a3"/>
            <w:rFonts w:hint="eastAsia"/>
          </w:rPr>
          <w:t>号——法定代表人、高级管理人员、执行事务合伙人或其委派代表</w:t>
        </w:r>
      </w:hyperlink>
    </w:p>
    <w:p w14:paraId="7974F0C7" w14:textId="337C1CB3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  <w:hyperlink r:id="rId10" w:history="1">
        <w:r w:rsidRPr="005C192A">
          <w:rPr>
            <w:rStyle w:val="a3"/>
            <w:rFonts w:hint="eastAsia"/>
          </w:rPr>
          <w:t>关于发布《私募投资基金登记备案办法》的公告</w:t>
        </w:r>
      </w:hyperlink>
    </w:p>
    <w:p w14:paraId="16460E30" w14:textId="4BFCD3FE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  <w:hyperlink r:id="rId11" w:history="1">
        <w:r w:rsidRPr="005C192A">
          <w:rPr>
            <w:rStyle w:val="a3"/>
            <w:rFonts w:hint="eastAsia"/>
          </w:rPr>
          <w:t>关于发布《私募基金管理人登记指引第</w:t>
        </w:r>
        <w:r w:rsidRPr="005C192A">
          <w:rPr>
            <w:rStyle w:val="a3"/>
            <w:rFonts w:hint="eastAsia"/>
          </w:rPr>
          <w:t>1</w:t>
        </w:r>
        <w:r w:rsidRPr="005C192A">
          <w:rPr>
            <w:rStyle w:val="a3"/>
            <w:rFonts w:hint="eastAsia"/>
          </w:rPr>
          <w:t>号——基本经营要求》的公告</w:t>
        </w:r>
      </w:hyperlink>
    </w:p>
    <w:p w14:paraId="189AFFB6" w14:textId="6D336866" w:rsidR="004B62C4" w:rsidRDefault="004B62C4" w:rsidP="004B62C4">
      <w:r>
        <w:rPr>
          <w:rFonts w:hint="eastAsia"/>
        </w:rPr>
        <w:t>附件</w:t>
      </w:r>
      <w:r>
        <w:rPr>
          <w:rFonts w:hint="eastAsia"/>
        </w:rPr>
        <w:t>7</w:t>
      </w:r>
      <w:r>
        <w:rPr>
          <w:rFonts w:hint="eastAsia"/>
        </w:rPr>
        <w:t>：</w:t>
      </w:r>
      <w:hyperlink r:id="rId12" w:history="1">
        <w:r w:rsidRPr="005C192A">
          <w:rPr>
            <w:rStyle w:val="a3"/>
            <w:rFonts w:hint="eastAsia"/>
          </w:rPr>
          <w:t>关于发布《私募基金管理人登记指引第</w:t>
        </w:r>
        <w:r w:rsidRPr="005C192A">
          <w:rPr>
            <w:rStyle w:val="a3"/>
            <w:rFonts w:hint="eastAsia"/>
          </w:rPr>
          <w:t>2</w:t>
        </w:r>
        <w:r w:rsidRPr="005C192A">
          <w:rPr>
            <w:rStyle w:val="a3"/>
            <w:rFonts w:hint="eastAsia"/>
          </w:rPr>
          <w:t>号——股东、合伙人、实际控制人》的公告</w:t>
        </w:r>
      </w:hyperlink>
    </w:p>
    <w:p w14:paraId="55DD8E4F" w14:textId="09722BFB" w:rsidR="00F45EEB" w:rsidRDefault="004B62C4" w:rsidP="004B62C4">
      <w:r>
        <w:rPr>
          <w:rFonts w:hint="eastAsia"/>
        </w:rPr>
        <w:t>附件</w:t>
      </w:r>
      <w:r>
        <w:rPr>
          <w:rFonts w:hint="eastAsia"/>
        </w:rPr>
        <w:t>8</w:t>
      </w:r>
      <w:r>
        <w:rPr>
          <w:rFonts w:hint="eastAsia"/>
        </w:rPr>
        <w:t>：</w:t>
      </w:r>
      <w:hyperlink r:id="rId13" w:history="1">
        <w:r w:rsidRPr="005C192A">
          <w:rPr>
            <w:rStyle w:val="a3"/>
            <w:rFonts w:hint="eastAsia"/>
          </w:rPr>
          <w:t>关于发布《私募基金管理人登记指引第</w:t>
        </w:r>
        <w:r w:rsidRPr="005C192A">
          <w:rPr>
            <w:rStyle w:val="a3"/>
            <w:rFonts w:hint="eastAsia"/>
          </w:rPr>
          <w:t>3</w:t>
        </w:r>
        <w:r w:rsidRPr="005C192A">
          <w:rPr>
            <w:rStyle w:val="a3"/>
            <w:rFonts w:hint="eastAsia"/>
          </w:rPr>
          <w:t>号——法定代表人、高级管理人员、执行事务合伙人及其委派代表》的公告</w:t>
        </w:r>
      </w:hyperlink>
    </w:p>
    <w:p w14:paraId="31265B19" w14:textId="2834F367" w:rsidR="004B62C4" w:rsidRDefault="004B62C4" w:rsidP="004B62C4"/>
    <w:p w14:paraId="126A8C97" w14:textId="77777777" w:rsidR="00BA5BEC" w:rsidRDefault="00BA5BEC" w:rsidP="004B62C4">
      <w:pPr>
        <w:rPr>
          <w:rFonts w:hint="eastAsia"/>
        </w:rPr>
      </w:pPr>
    </w:p>
    <w:p w14:paraId="3EA7920C" w14:textId="7932E920" w:rsidR="004B62C4" w:rsidRDefault="004B62C4" w:rsidP="004B62C4">
      <w:r>
        <w:rPr>
          <w:rFonts w:hint="eastAsia"/>
        </w:rPr>
        <w:t>信息来源：</w:t>
      </w:r>
    </w:p>
    <w:p w14:paraId="03B6D1BB" w14:textId="2E0D2EE8" w:rsidR="004B62C4" w:rsidRDefault="00000000" w:rsidP="004B62C4">
      <w:hyperlink r:id="rId14" w:history="1">
        <w:r w:rsidR="004B62C4" w:rsidRPr="006350D6">
          <w:rPr>
            <w:rStyle w:val="a3"/>
          </w:rPr>
          <w:t>https://www.amac.org.cn/aboutassociation/gyxh_xhdt/xhdt_xhyw/202302/t20230224_14496.html</w:t>
        </w:r>
      </w:hyperlink>
    </w:p>
    <w:p w14:paraId="3B1369D9" w14:textId="77777777" w:rsidR="004B62C4" w:rsidRPr="004B62C4" w:rsidRDefault="004B62C4" w:rsidP="004B62C4"/>
    <w:sectPr w:rsidR="004B62C4" w:rsidRPr="004B62C4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198B" w14:textId="77777777" w:rsidR="00870531" w:rsidRDefault="00870531" w:rsidP="005C192A">
      <w:pPr>
        <w:spacing w:line="240" w:lineRule="auto"/>
      </w:pPr>
      <w:r>
        <w:separator/>
      </w:r>
    </w:p>
  </w:endnote>
  <w:endnote w:type="continuationSeparator" w:id="0">
    <w:p w14:paraId="7EAC7B5B" w14:textId="77777777" w:rsidR="00870531" w:rsidRDefault="00870531" w:rsidP="005C1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54B" w14:textId="77777777" w:rsidR="00870531" w:rsidRDefault="00870531" w:rsidP="005C192A">
      <w:pPr>
        <w:spacing w:line="240" w:lineRule="auto"/>
      </w:pPr>
      <w:r>
        <w:separator/>
      </w:r>
    </w:p>
  </w:footnote>
  <w:footnote w:type="continuationSeparator" w:id="0">
    <w:p w14:paraId="02B5DDBE" w14:textId="77777777" w:rsidR="00870531" w:rsidRDefault="00870531" w:rsidP="005C19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C4"/>
    <w:rsid w:val="00027D04"/>
    <w:rsid w:val="003504FE"/>
    <w:rsid w:val="004B62C4"/>
    <w:rsid w:val="004D031A"/>
    <w:rsid w:val="005C192A"/>
    <w:rsid w:val="00812312"/>
    <w:rsid w:val="00870531"/>
    <w:rsid w:val="00AE1D4E"/>
    <w:rsid w:val="00B41EDF"/>
    <w:rsid w:val="00BA5BEC"/>
    <w:rsid w:val="00F45EEB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6F30A"/>
  <w15:chartTrackingRefBased/>
  <w15:docId w15:val="{8BD35405-FEC4-465E-80C8-1194A27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2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2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19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19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192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12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79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.hhp.com.cn/newlaw/20230302003_03.pdf" TargetMode="External"/><Relationship Id="rId13" Type="http://schemas.openxmlformats.org/officeDocument/2006/relationships/hyperlink" Target="http://centrum.hhp.com.cn/newlaw/20230302003_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302003_02.pdf" TargetMode="External"/><Relationship Id="rId12" Type="http://schemas.openxmlformats.org/officeDocument/2006/relationships/hyperlink" Target="http://centrum.hhp.com.cn/newlaw/20230302003_0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02003_01.pdf" TargetMode="External"/><Relationship Id="rId11" Type="http://schemas.openxmlformats.org/officeDocument/2006/relationships/hyperlink" Target="http://centrum.hhp.com.cn/newlaw/20230302003_06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entrum.hhp.com.cn/newlaw/20230302003_0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entrum.hhp.com.cn/newlaw/20230302003_04.pdf" TargetMode="External"/><Relationship Id="rId14" Type="http://schemas.openxmlformats.org/officeDocument/2006/relationships/hyperlink" Target="https://www.amac.org.cn/aboutassociation/gyxh_xhdt/xhdt_xhyw/202302/t20230224_1449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2023-03-01T02:25:00Z</dcterms:created>
  <dcterms:modified xsi:type="dcterms:W3CDTF">2023-03-03T03:53:00Z</dcterms:modified>
</cp:coreProperties>
</file>