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FC5FA" w14:textId="77777777" w:rsidR="0070090B" w:rsidRPr="00A36DAD" w:rsidRDefault="0070090B" w:rsidP="00077583">
      <w:pPr>
        <w:pStyle w:val="AD"/>
        <w:spacing w:line="276" w:lineRule="auto"/>
        <w:jc w:val="center"/>
        <w:rPr>
          <w:b/>
          <w:bCs/>
          <w:color w:val="E36C0A" w:themeColor="accent6" w:themeShade="BF"/>
          <w:sz w:val="32"/>
          <w:szCs w:val="32"/>
        </w:rPr>
      </w:pPr>
      <w:r w:rsidRPr="00A36DAD">
        <w:rPr>
          <w:rFonts w:hint="eastAsia"/>
          <w:b/>
          <w:bCs/>
          <w:color w:val="E36C0A" w:themeColor="accent6" w:themeShade="BF"/>
          <w:sz w:val="32"/>
          <w:szCs w:val="32"/>
        </w:rPr>
        <w:t>关于进一步做好两用物项出口管制工作的通知</w:t>
      </w:r>
    </w:p>
    <w:p w14:paraId="1598EC35" w14:textId="5EAFFE80" w:rsidR="0070090B" w:rsidRDefault="0070090B" w:rsidP="00077583">
      <w:pPr>
        <w:pStyle w:val="AD"/>
        <w:spacing w:line="276" w:lineRule="auto"/>
        <w:jc w:val="center"/>
      </w:pPr>
      <w:r>
        <w:rPr>
          <w:rFonts w:hint="eastAsia"/>
        </w:rPr>
        <w:t>商办安管函〔</w:t>
      </w:r>
      <w:r>
        <w:rPr>
          <w:rFonts w:hint="eastAsia"/>
        </w:rPr>
        <w:t>2023</w:t>
      </w:r>
      <w:r>
        <w:rPr>
          <w:rFonts w:hint="eastAsia"/>
        </w:rPr>
        <w:t>〕</w:t>
      </w:r>
      <w:r>
        <w:rPr>
          <w:rFonts w:hint="eastAsia"/>
        </w:rPr>
        <w:t>35</w:t>
      </w:r>
      <w:r>
        <w:rPr>
          <w:rFonts w:hint="eastAsia"/>
        </w:rPr>
        <w:t>号</w:t>
      </w:r>
    </w:p>
    <w:p w14:paraId="4FD41774" w14:textId="77777777" w:rsidR="00A36DAD" w:rsidRDefault="00A36DAD" w:rsidP="00077583">
      <w:pPr>
        <w:pStyle w:val="AD"/>
        <w:spacing w:line="276" w:lineRule="auto"/>
      </w:pPr>
    </w:p>
    <w:p w14:paraId="72F44497" w14:textId="48E68DA0" w:rsidR="0070090B" w:rsidRDefault="0070090B" w:rsidP="00E543E4">
      <w:pPr>
        <w:pStyle w:val="AD"/>
        <w:spacing w:line="276" w:lineRule="auto"/>
      </w:pPr>
      <w:r>
        <w:rPr>
          <w:rFonts w:hint="eastAsia"/>
        </w:rPr>
        <w:t>各省、自治区、直辖市、计划单列市及新疆生产建设兵团商务主管部门：</w:t>
      </w:r>
    </w:p>
    <w:p w14:paraId="1FF85CA1" w14:textId="77777777" w:rsidR="0070090B" w:rsidRDefault="0070090B" w:rsidP="00E543E4">
      <w:pPr>
        <w:pStyle w:val="AD"/>
        <w:spacing w:line="276" w:lineRule="auto"/>
      </w:pPr>
    </w:p>
    <w:p w14:paraId="16064510" w14:textId="77777777" w:rsidR="0070090B" w:rsidRDefault="0070090B" w:rsidP="00E543E4">
      <w:pPr>
        <w:pStyle w:val="AD"/>
        <w:spacing w:line="276" w:lineRule="auto"/>
        <w:ind w:firstLineChars="200" w:firstLine="440"/>
      </w:pPr>
      <w:r>
        <w:rPr>
          <w:rFonts w:hint="eastAsia"/>
        </w:rPr>
        <w:t>为深入贯彻党的二十大精神，根据《中华人民共和国出口管制法》及有关行政法规、规章的规定，结合当前工作中发现的新情况，现就进一步做好两用物项出口管制工作通知如下：</w:t>
      </w:r>
    </w:p>
    <w:p w14:paraId="09942F9D" w14:textId="5C567D4C" w:rsidR="0070090B" w:rsidRDefault="0070090B" w:rsidP="00E543E4">
      <w:pPr>
        <w:pStyle w:val="AD"/>
        <w:spacing w:line="276" w:lineRule="auto"/>
        <w:ind w:firstLineChars="200" w:firstLine="440"/>
      </w:pPr>
    </w:p>
    <w:p w14:paraId="14F34160" w14:textId="77777777" w:rsidR="0070090B" w:rsidRPr="00E543E4" w:rsidRDefault="0070090B" w:rsidP="00E543E4">
      <w:pPr>
        <w:pStyle w:val="AD"/>
        <w:spacing w:line="276" w:lineRule="auto"/>
        <w:ind w:firstLineChars="200" w:firstLine="442"/>
        <w:rPr>
          <w:b/>
          <w:bCs/>
        </w:rPr>
      </w:pPr>
      <w:r w:rsidRPr="00E543E4">
        <w:rPr>
          <w:rFonts w:hint="eastAsia"/>
          <w:b/>
          <w:bCs/>
        </w:rPr>
        <w:t>一、坚持总体国家安全观，将维护国家安全贯穿出口管制工作</w:t>
      </w:r>
      <w:proofErr w:type="gramStart"/>
      <w:r w:rsidRPr="00E543E4">
        <w:rPr>
          <w:rFonts w:hint="eastAsia"/>
          <w:b/>
          <w:bCs/>
        </w:rPr>
        <w:t>各方面全过程</w:t>
      </w:r>
      <w:proofErr w:type="gramEnd"/>
    </w:p>
    <w:p w14:paraId="531FC136" w14:textId="77777777" w:rsidR="0070090B" w:rsidRDefault="0070090B" w:rsidP="00E543E4">
      <w:pPr>
        <w:pStyle w:val="AD"/>
        <w:spacing w:line="276" w:lineRule="auto"/>
        <w:ind w:firstLineChars="200" w:firstLine="440"/>
      </w:pPr>
    </w:p>
    <w:p w14:paraId="04441D72" w14:textId="77777777" w:rsidR="0070090B" w:rsidRDefault="0070090B" w:rsidP="00E543E4">
      <w:pPr>
        <w:pStyle w:val="AD"/>
        <w:spacing w:line="276" w:lineRule="auto"/>
        <w:ind w:firstLineChars="200" w:firstLine="440"/>
      </w:pPr>
      <w:r>
        <w:rPr>
          <w:rFonts w:hint="eastAsia"/>
        </w:rPr>
        <w:t>两用物项出口管制工作应当坚持以习近平新时代中国特色社会主义思想为指导，深入贯彻党的二十大精神，坚持总体国家安全观，统筹发展和安全，统筹开放和安全，加快完善现代化出口管制体系，提升出口管制治理效能，规范和促进合</w:t>
      </w:r>
      <w:proofErr w:type="gramStart"/>
      <w:r>
        <w:rPr>
          <w:rFonts w:hint="eastAsia"/>
        </w:rPr>
        <w:t>规</w:t>
      </w:r>
      <w:proofErr w:type="gramEnd"/>
      <w:r>
        <w:rPr>
          <w:rFonts w:hint="eastAsia"/>
        </w:rPr>
        <w:t>贸易，防范和应对风险挑战，以新安全格局保障新发展格局，更好维护国家主权、安全、发展利益。</w:t>
      </w:r>
    </w:p>
    <w:p w14:paraId="442A5650" w14:textId="77777777" w:rsidR="0070090B" w:rsidRDefault="0070090B" w:rsidP="00E543E4">
      <w:pPr>
        <w:pStyle w:val="AD"/>
        <w:spacing w:line="276" w:lineRule="auto"/>
        <w:ind w:firstLineChars="200" w:firstLine="440"/>
      </w:pPr>
    </w:p>
    <w:p w14:paraId="273E01DF" w14:textId="77777777" w:rsidR="0070090B" w:rsidRPr="00E543E4" w:rsidRDefault="0070090B" w:rsidP="00E543E4">
      <w:pPr>
        <w:pStyle w:val="AD"/>
        <w:spacing w:line="276" w:lineRule="auto"/>
        <w:ind w:firstLineChars="200" w:firstLine="442"/>
        <w:rPr>
          <w:b/>
          <w:bCs/>
        </w:rPr>
      </w:pPr>
      <w:r w:rsidRPr="00E543E4">
        <w:rPr>
          <w:rFonts w:hint="eastAsia"/>
          <w:b/>
          <w:bCs/>
        </w:rPr>
        <w:t>二、认真贯彻落实出口管制法律法规，准确把握出口管制范围</w:t>
      </w:r>
    </w:p>
    <w:p w14:paraId="10DA9471" w14:textId="77777777" w:rsidR="0070090B" w:rsidRDefault="0070090B" w:rsidP="00E543E4">
      <w:pPr>
        <w:pStyle w:val="AD"/>
        <w:spacing w:line="276" w:lineRule="auto"/>
        <w:ind w:firstLineChars="200" w:firstLine="440"/>
      </w:pPr>
    </w:p>
    <w:p w14:paraId="2C7D7105" w14:textId="77777777" w:rsidR="0070090B" w:rsidRDefault="0070090B" w:rsidP="00E543E4">
      <w:pPr>
        <w:pStyle w:val="AD"/>
        <w:spacing w:line="276" w:lineRule="auto"/>
        <w:ind w:firstLineChars="200" w:firstLine="440"/>
      </w:pPr>
      <w:r>
        <w:rPr>
          <w:rFonts w:hint="eastAsia"/>
        </w:rPr>
        <w:t>各省级商务主管部门要进一步提高政治站位，推进依法行政，充分认识出口管制工作对维护国家安全和利益的重要性，充分利用各种渠道和方式，加大宣传培训力度，引导辖区内的两用物项出口经营者认真学习并严格遵守出口管制相关法律、行政法规、规章和政策的规定，熟悉两用物项出口管制范围，准确判别拟出口的货物、技术和服务是否属于两用物项，以及是否属于《中华人民共和国出口管制法》第十二条第三款规定的应当向商务部申请许可的情形。对于确实无法判别的，出口经营者可以向商务部提出咨询。</w:t>
      </w:r>
    </w:p>
    <w:p w14:paraId="6365889B" w14:textId="77777777" w:rsidR="0070090B" w:rsidRDefault="0070090B" w:rsidP="00E543E4">
      <w:pPr>
        <w:pStyle w:val="AD"/>
        <w:spacing w:line="276" w:lineRule="auto"/>
        <w:ind w:firstLineChars="200" w:firstLine="440"/>
      </w:pPr>
    </w:p>
    <w:p w14:paraId="4936A090" w14:textId="77777777" w:rsidR="0070090B" w:rsidRPr="00E543E4" w:rsidRDefault="0070090B" w:rsidP="00E543E4">
      <w:pPr>
        <w:pStyle w:val="AD"/>
        <w:spacing w:line="276" w:lineRule="auto"/>
        <w:ind w:firstLineChars="200" w:firstLine="442"/>
        <w:rPr>
          <w:b/>
          <w:bCs/>
        </w:rPr>
      </w:pPr>
      <w:r w:rsidRPr="00E543E4">
        <w:rPr>
          <w:rFonts w:hint="eastAsia"/>
          <w:b/>
          <w:bCs/>
        </w:rPr>
        <w:t>三、严格履行许可程序，遵守最终用户和最终用途规定</w:t>
      </w:r>
    </w:p>
    <w:p w14:paraId="4FBA90A0" w14:textId="77777777" w:rsidR="0070090B" w:rsidRDefault="0070090B" w:rsidP="00E543E4">
      <w:pPr>
        <w:pStyle w:val="AD"/>
        <w:spacing w:line="276" w:lineRule="auto"/>
        <w:ind w:firstLineChars="200" w:firstLine="440"/>
      </w:pPr>
    </w:p>
    <w:p w14:paraId="434B1B92" w14:textId="77777777" w:rsidR="0070090B" w:rsidRDefault="0070090B" w:rsidP="00E543E4">
      <w:pPr>
        <w:pStyle w:val="AD"/>
        <w:spacing w:line="276" w:lineRule="auto"/>
        <w:ind w:firstLineChars="200" w:firstLine="440"/>
      </w:pPr>
      <w:r>
        <w:rPr>
          <w:rFonts w:hint="eastAsia"/>
        </w:rPr>
        <w:t>各省级商务主管部门要继续做好辖区内的两用物项出口申请材料的转报工作，认真指导辖区内的两用物项出口经营者严格按照出口管制相关法律、行政法规、规章的规定，向商务部提交真实、完整、准确的两用物项出口申请材料。未经许可，出口经营者不得擅自出口两用物项，不得超出最终用户、最终用途等已批准的范围出口两用物项，不得出口禁止出口的物项。进口商、最终用户应当严格遵守最终用户和最终用途管理规定，不得违规改装、改变、转移相关物项用于非民用用途，不得擅自向任何第三方转让。确需改变最终用户或最终用途等已批准的许可范围的，应当依法向商务部提出申请。对于违反有关规定和要求的，商务部将依法予以处理和处罚。</w:t>
      </w:r>
    </w:p>
    <w:p w14:paraId="336D9AE3" w14:textId="77777777" w:rsidR="0070090B" w:rsidRDefault="0070090B" w:rsidP="00E543E4">
      <w:pPr>
        <w:pStyle w:val="AD"/>
        <w:spacing w:line="276" w:lineRule="auto"/>
        <w:ind w:firstLineChars="200" w:firstLine="440"/>
      </w:pPr>
    </w:p>
    <w:p w14:paraId="0EDBD10E" w14:textId="77777777" w:rsidR="0070090B" w:rsidRPr="00E543E4" w:rsidRDefault="0070090B" w:rsidP="00E543E4">
      <w:pPr>
        <w:pStyle w:val="AD"/>
        <w:spacing w:line="276" w:lineRule="auto"/>
        <w:ind w:firstLineChars="200" w:firstLine="442"/>
        <w:rPr>
          <w:b/>
          <w:bCs/>
        </w:rPr>
      </w:pPr>
      <w:r w:rsidRPr="00E543E4">
        <w:rPr>
          <w:rFonts w:hint="eastAsia"/>
          <w:b/>
          <w:bCs/>
        </w:rPr>
        <w:t>四、建立健全内部合规制度，有效防范和化解贸易风险</w:t>
      </w:r>
    </w:p>
    <w:p w14:paraId="21EFD0B7" w14:textId="77777777" w:rsidR="0070090B" w:rsidRDefault="0070090B" w:rsidP="00E543E4">
      <w:pPr>
        <w:pStyle w:val="AD"/>
        <w:spacing w:line="276" w:lineRule="auto"/>
        <w:ind w:firstLineChars="200" w:firstLine="440"/>
      </w:pPr>
    </w:p>
    <w:p w14:paraId="0826D307" w14:textId="77777777" w:rsidR="0070090B" w:rsidRDefault="0070090B" w:rsidP="00E543E4">
      <w:pPr>
        <w:pStyle w:val="AD"/>
        <w:spacing w:line="276" w:lineRule="auto"/>
        <w:ind w:firstLineChars="200" w:firstLine="440"/>
      </w:pPr>
      <w:r>
        <w:rPr>
          <w:rFonts w:hint="eastAsia"/>
        </w:rPr>
        <w:t>各省级商务主管部门要积极推动辖区内的两用物项出口经营者，依据《商务部关于两用物项出口经营者建立出口管制内部合规机制的指导意见》，及时建立健全两用物项出口管制内部合</w:t>
      </w:r>
      <w:r>
        <w:rPr>
          <w:rFonts w:hint="eastAsia"/>
        </w:rPr>
        <w:lastRenderedPageBreak/>
        <w:t>规制度，充分发挥主体责任，对可能面临的出口管制风险进行全面评估，主动识别敏感用户、敏感用途等易发生违规风险的业务环节，提升对境外实体非法采购的警惕性，有效防范和化解贸易风险。及时提醒相关组织和个人不得为出口经营者从事两用物项出口管制违法行为提供代理、货运、寄递、报关、第三方电子商务交易平台和金融等服务。</w:t>
      </w:r>
    </w:p>
    <w:p w14:paraId="547A5F26" w14:textId="77777777" w:rsidR="0070090B" w:rsidRDefault="0070090B" w:rsidP="00E543E4">
      <w:pPr>
        <w:pStyle w:val="AD"/>
        <w:spacing w:line="276" w:lineRule="auto"/>
        <w:ind w:firstLineChars="200" w:firstLine="440"/>
      </w:pPr>
    </w:p>
    <w:p w14:paraId="75A12A11" w14:textId="77777777" w:rsidR="0070090B" w:rsidRPr="00E543E4" w:rsidRDefault="0070090B" w:rsidP="00E543E4">
      <w:pPr>
        <w:pStyle w:val="AD"/>
        <w:spacing w:line="276" w:lineRule="auto"/>
        <w:ind w:firstLineChars="200" w:firstLine="442"/>
        <w:rPr>
          <w:b/>
          <w:bCs/>
        </w:rPr>
      </w:pPr>
      <w:r w:rsidRPr="00E543E4">
        <w:rPr>
          <w:rFonts w:hint="eastAsia"/>
          <w:b/>
          <w:bCs/>
        </w:rPr>
        <w:t>五、实施通用许可等便利措施，便利和促进合</w:t>
      </w:r>
      <w:proofErr w:type="gramStart"/>
      <w:r w:rsidRPr="00E543E4">
        <w:rPr>
          <w:rFonts w:hint="eastAsia"/>
          <w:b/>
          <w:bCs/>
        </w:rPr>
        <w:t>规</w:t>
      </w:r>
      <w:proofErr w:type="gramEnd"/>
      <w:r w:rsidRPr="00E543E4">
        <w:rPr>
          <w:rFonts w:hint="eastAsia"/>
          <w:b/>
          <w:bCs/>
        </w:rPr>
        <w:t>贸易</w:t>
      </w:r>
    </w:p>
    <w:p w14:paraId="42D7B248" w14:textId="77777777" w:rsidR="0070090B" w:rsidRDefault="0070090B" w:rsidP="00E543E4">
      <w:pPr>
        <w:pStyle w:val="AD"/>
        <w:spacing w:line="276" w:lineRule="auto"/>
        <w:ind w:firstLineChars="200" w:firstLine="440"/>
      </w:pPr>
    </w:p>
    <w:p w14:paraId="67DF4168" w14:textId="77777777" w:rsidR="0070090B" w:rsidRDefault="0070090B" w:rsidP="00E543E4">
      <w:pPr>
        <w:pStyle w:val="AD"/>
        <w:spacing w:line="276" w:lineRule="auto"/>
        <w:ind w:firstLineChars="200" w:firstLine="440"/>
      </w:pPr>
      <w:r>
        <w:rPr>
          <w:rFonts w:hint="eastAsia"/>
        </w:rPr>
        <w:t>各省级商务主管部门要积极引导辖区内的两用物项出口经营者用足用好相关政策便利措施。对于建立两用物项出口管制内部合规制度且运行情况良好的出口经营者，商务部可以依照其申请，对特定两用物项出口适用通用许可等便利措施，鼓励扩大合</w:t>
      </w:r>
      <w:proofErr w:type="gramStart"/>
      <w:r>
        <w:rPr>
          <w:rFonts w:hint="eastAsia"/>
        </w:rPr>
        <w:t>规</w:t>
      </w:r>
      <w:proofErr w:type="gramEnd"/>
      <w:r>
        <w:rPr>
          <w:rFonts w:hint="eastAsia"/>
        </w:rPr>
        <w:t>贸易。要充分利用电子政务平台，实现两用物项许可申请、审核、签发、通关等全流程电子化，优化政务服务，最大程度利企便民。</w:t>
      </w:r>
    </w:p>
    <w:p w14:paraId="7ADD1708" w14:textId="77777777" w:rsidR="0070090B" w:rsidRDefault="0070090B" w:rsidP="00E543E4">
      <w:pPr>
        <w:pStyle w:val="AD"/>
        <w:spacing w:line="276" w:lineRule="auto"/>
        <w:ind w:firstLineChars="200" w:firstLine="440"/>
      </w:pPr>
    </w:p>
    <w:p w14:paraId="0EC98F76" w14:textId="77777777" w:rsidR="0070090B" w:rsidRPr="00E543E4" w:rsidRDefault="0070090B" w:rsidP="00E543E4">
      <w:pPr>
        <w:pStyle w:val="AD"/>
        <w:spacing w:line="276" w:lineRule="auto"/>
        <w:ind w:firstLineChars="200" w:firstLine="442"/>
        <w:rPr>
          <w:b/>
          <w:bCs/>
        </w:rPr>
      </w:pPr>
      <w:r w:rsidRPr="00E543E4">
        <w:rPr>
          <w:rFonts w:hint="eastAsia"/>
          <w:b/>
          <w:bCs/>
        </w:rPr>
        <w:t>六、强化出口管制监督执法，严肃查处违法违规行为</w:t>
      </w:r>
    </w:p>
    <w:p w14:paraId="65915797" w14:textId="77777777" w:rsidR="0070090B" w:rsidRDefault="0070090B" w:rsidP="00E543E4">
      <w:pPr>
        <w:pStyle w:val="AD"/>
        <w:spacing w:line="276" w:lineRule="auto"/>
        <w:ind w:firstLineChars="200" w:firstLine="440"/>
      </w:pPr>
    </w:p>
    <w:p w14:paraId="13DA1EC4" w14:textId="77777777" w:rsidR="0070090B" w:rsidRDefault="0070090B" w:rsidP="00E543E4">
      <w:pPr>
        <w:pStyle w:val="AD"/>
        <w:spacing w:line="276" w:lineRule="auto"/>
        <w:ind w:firstLineChars="200" w:firstLine="440"/>
      </w:pPr>
      <w:r>
        <w:rPr>
          <w:rFonts w:hint="eastAsia"/>
        </w:rPr>
        <w:t>商务部单独或会同相关部门开展常态</w:t>
      </w:r>
      <w:proofErr w:type="gramStart"/>
      <w:r>
        <w:rPr>
          <w:rFonts w:hint="eastAsia"/>
        </w:rPr>
        <w:t>化执法</w:t>
      </w:r>
      <w:proofErr w:type="gramEnd"/>
      <w:r>
        <w:rPr>
          <w:rFonts w:hint="eastAsia"/>
        </w:rPr>
        <w:t>检查，适时开展专项执法行动，各省级商务主管部门要积极予以协助，有关组织和个人应当予以配合。对于发现有关行为存在违法风险的</w:t>
      </w:r>
      <w:r>
        <w:rPr>
          <w:rFonts w:hint="eastAsia"/>
        </w:rPr>
        <w:t>,</w:t>
      </w:r>
      <w:r>
        <w:rPr>
          <w:rFonts w:hint="eastAsia"/>
        </w:rPr>
        <w:t>商务部可以对有关组织和个人采取监管谈话、出具警示函等措施，经查实存在违法违规行为的，依法予以严肃处理和处罚。出口经营者积极配合调查，并主动采取补救措施的，商务部可依法酌情对其违法违规行为予以从轻处罚。对于两用物项出口管制清单所列管制物项及临时管制物项之外的货物、技术和服务，出口经营者发现或者接到商务部通知，相关出口可能存在危害国家安全和利益等风险的，应当立即停止出口，采取措施减轻或消除危害后果。确需出口的，应当依法向商务部申请许可。各省级商务主管部门要及时予以督促和指导。</w:t>
      </w:r>
    </w:p>
    <w:p w14:paraId="31DAEFB0" w14:textId="77777777" w:rsidR="0070090B" w:rsidRDefault="0070090B" w:rsidP="00E543E4">
      <w:pPr>
        <w:pStyle w:val="AD"/>
        <w:spacing w:line="276" w:lineRule="auto"/>
        <w:ind w:firstLineChars="200" w:firstLine="440"/>
      </w:pPr>
    </w:p>
    <w:p w14:paraId="372A0C67" w14:textId="77777777" w:rsidR="0070090B" w:rsidRPr="00E543E4" w:rsidRDefault="0070090B" w:rsidP="00E543E4">
      <w:pPr>
        <w:pStyle w:val="AD"/>
        <w:spacing w:line="276" w:lineRule="auto"/>
        <w:ind w:firstLineChars="200" w:firstLine="442"/>
        <w:rPr>
          <w:b/>
          <w:bCs/>
        </w:rPr>
      </w:pPr>
      <w:r w:rsidRPr="00E543E4">
        <w:rPr>
          <w:rFonts w:hint="eastAsia"/>
          <w:b/>
          <w:bCs/>
        </w:rPr>
        <w:t>七、加强组织落实，及时帮助解决企业诉求</w:t>
      </w:r>
    </w:p>
    <w:p w14:paraId="632AA09C" w14:textId="77777777" w:rsidR="0070090B" w:rsidRDefault="0070090B" w:rsidP="00E543E4">
      <w:pPr>
        <w:pStyle w:val="AD"/>
        <w:spacing w:line="276" w:lineRule="auto"/>
        <w:ind w:firstLineChars="200" w:firstLine="440"/>
      </w:pPr>
    </w:p>
    <w:p w14:paraId="75606EAA" w14:textId="77777777" w:rsidR="0070090B" w:rsidRDefault="0070090B" w:rsidP="00E543E4">
      <w:pPr>
        <w:pStyle w:val="AD"/>
        <w:spacing w:line="276" w:lineRule="auto"/>
        <w:ind w:firstLineChars="200" w:firstLine="440"/>
      </w:pPr>
      <w:r>
        <w:rPr>
          <w:rFonts w:hint="eastAsia"/>
        </w:rPr>
        <w:t>各省级商务主管部门要高度重视，强化法治意识和服务意识，采取有力措施，保障相关工作顺利进行。要在引导辖区内的两用物项出口经营者尊法学法守法用法上下更大功夫，鼓励其用足用好相关政策便利措施，积极防范化解贸易风险。对于两用物项出口经营者反映的困难和问题，要主动了解、及时研究、尽力帮助解决，重大情况及时报商务部（安全与管制局）。</w:t>
      </w:r>
    </w:p>
    <w:p w14:paraId="0F82627A" w14:textId="77777777" w:rsidR="0070090B" w:rsidRDefault="0070090B" w:rsidP="00077583">
      <w:pPr>
        <w:pStyle w:val="AD"/>
        <w:spacing w:line="276" w:lineRule="auto"/>
      </w:pPr>
    </w:p>
    <w:p w14:paraId="18089965" w14:textId="77777777" w:rsidR="0070090B" w:rsidRDefault="0070090B" w:rsidP="00FF5590">
      <w:pPr>
        <w:pStyle w:val="AD"/>
        <w:spacing w:line="276" w:lineRule="auto"/>
        <w:jc w:val="right"/>
      </w:pPr>
      <w:r>
        <w:rPr>
          <w:rFonts w:hint="eastAsia"/>
        </w:rPr>
        <w:t>商务部办公厅</w:t>
      </w:r>
    </w:p>
    <w:p w14:paraId="47FE7F09" w14:textId="28D29252" w:rsidR="00B15193" w:rsidRDefault="0070090B" w:rsidP="00FF5590">
      <w:pPr>
        <w:pStyle w:val="AD"/>
        <w:spacing w:line="276" w:lineRule="auto"/>
        <w:jc w:val="right"/>
      </w:pPr>
      <w:r>
        <w:rPr>
          <w:rFonts w:hint="eastAsia"/>
        </w:rPr>
        <w:t>2023</w:t>
      </w:r>
      <w:r>
        <w:rPr>
          <w:rFonts w:hint="eastAsia"/>
        </w:rPr>
        <w:t>年</w:t>
      </w:r>
      <w:r>
        <w:rPr>
          <w:rFonts w:hint="eastAsia"/>
        </w:rPr>
        <w:t>2</w:t>
      </w:r>
      <w:r>
        <w:rPr>
          <w:rFonts w:hint="eastAsia"/>
        </w:rPr>
        <w:t>月</w:t>
      </w:r>
      <w:r>
        <w:rPr>
          <w:rFonts w:hint="eastAsia"/>
        </w:rPr>
        <w:t>12</w:t>
      </w:r>
      <w:r>
        <w:rPr>
          <w:rFonts w:hint="eastAsia"/>
        </w:rPr>
        <w:t>日</w:t>
      </w:r>
    </w:p>
    <w:p w14:paraId="31440FF5" w14:textId="1DCED774" w:rsidR="0070090B" w:rsidRDefault="0070090B" w:rsidP="00077583">
      <w:pPr>
        <w:pStyle w:val="AD"/>
        <w:spacing w:line="276" w:lineRule="auto"/>
      </w:pPr>
    </w:p>
    <w:p w14:paraId="232C3005" w14:textId="713AF01A" w:rsidR="0070090B" w:rsidRDefault="0070090B" w:rsidP="00077583">
      <w:pPr>
        <w:pStyle w:val="AD"/>
        <w:spacing w:line="276" w:lineRule="auto"/>
      </w:pPr>
    </w:p>
    <w:p w14:paraId="7D1A0FCD" w14:textId="3162D2A2" w:rsidR="0070090B" w:rsidRDefault="0070090B" w:rsidP="00077583">
      <w:pPr>
        <w:pStyle w:val="AD"/>
        <w:spacing w:line="276" w:lineRule="auto"/>
      </w:pPr>
      <w:r>
        <w:rPr>
          <w:rFonts w:hint="eastAsia"/>
        </w:rPr>
        <w:t>信息来源：</w:t>
      </w:r>
      <w:hyperlink r:id="rId6" w:history="1">
        <w:r w:rsidRPr="00393ED9">
          <w:rPr>
            <w:rStyle w:val="a9"/>
          </w:rPr>
          <w:t>http://www.mofcom.gov.cn/articl</w:t>
        </w:r>
        <w:r w:rsidRPr="00393ED9">
          <w:rPr>
            <w:rStyle w:val="a9"/>
          </w:rPr>
          <w:t>e</w:t>
        </w:r>
        <w:r w:rsidRPr="00393ED9">
          <w:rPr>
            <w:rStyle w:val="a9"/>
          </w:rPr>
          <w:t>/zwgk/gkzcfb/202302/20230203384654.shtml</w:t>
        </w:r>
      </w:hyperlink>
    </w:p>
    <w:p w14:paraId="431B5932" w14:textId="77777777" w:rsidR="0070090B" w:rsidRPr="0070090B" w:rsidRDefault="0070090B" w:rsidP="00077583">
      <w:pPr>
        <w:pStyle w:val="AD"/>
        <w:spacing w:line="276" w:lineRule="auto"/>
      </w:pPr>
    </w:p>
    <w:sectPr w:rsidR="0070090B" w:rsidRPr="0070090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0F92" w14:textId="77777777" w:rsidR="00233B12" w:rsidRDefault="00233B12" w:rsidP="00C20A6A">
      <w:pPr>
        <w:spacing w:line="240" w:lineRule="auto"/>
      </w:pPr>
      <w:r>
        <w:separator/>
      </w:r>
    </w:p>
  </w:endnote>
  <w:endnote w:type="continuationSeparator" w:id="0">
    <w:p w14:paraId="415BBA10" w14:textId="77777777" w:rsidR="00233B12" w:rsidRDefault="00233B1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2B056" w14:textId="77777777" w:rsidR="00233B12" w:rsidRDefault="00233B12" w:rsidP="00C20A6A">
      <w:pPr>
        <w:spacing w:line="240" w:lineRule="auto"/>
      </w:pPr>
      <w:r>
        <w:separator/>
      </w:r>
    </w:p>
  </w:footnote>
  <w:footnote w:type="continuationSeparator" w:id="0">
    <w:p w14:paraId="2B6C5F5C" w14:textId="77777777" w:rsidR="00233B12" w:rsidRDefault="00233B1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743F6"/>
    <w:rsid w:val="00077583"/>
    <w:rsid w:val="000F4C6A"/>
    <w:rsid w:val="00176A25"/>
    <w:rsid w:val="001C4C6F"/>
    <w:rsid w:val="00233B12"/>
    <w:rsid w:val="003D27E2"/>
    <w:rsid w:val="005F7C76"/>
    <w:rsid w:val="0070090B"/>
    <w:rsid w:val="007D7BDB"/>
    <w:rsid w:val="00A36DAD"/>
    <w:rsid w:val="00A548E7"/>
    <w:rsid w:val="00B15193"/>
    <w:rsid w:val="00B731F1"/>
    <w:rsid w:val="00C20A6A"/>
    <w:rsid w:val="00C22624"/>
    <w:rsid w:val="00C743F6"/>
    <w:rsid w:val="00D02718"/>
    <w:rsid w:val="00E543E4"/>
    <w:rsid w:val="00FF5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1A0CB"/>
  <w15:chartTrackingRefBased/>
  <w15:docId w15:val="{589D8171-5FD6-4C48-BA74-F20FD16A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0090B"/>
    <w:pPr>
      <w:ind w:leftChars="2500" w:left="100"/>
    </w:pPr>
  </w:style>
  <w:style w:type="character" w:customStyle="1" w:styleId="a8">
    <w:name w:val="日期 字符"/>
    <w:basedOn w:val="a0"/>
    <w:link w:val="a7"/>
    <w:uiPriority w:val="99"/>
    <w:semiHidden/>
    <w:rsid w:val="0070090B"/>
    <w:rPr>
      <w:rFonts w:ascii="Arial" w:eastAsia="宋体" w:hAnsi="Arial"/>
      <w:sz w:val="22"/>
    </w:rPr>
  </w:style>
  <w:style w:type="character" w:styleId="a9">
    <w:name w:val="Hyperlink"/>
    <w:basedOn w:val="a0"/>
    <w:uiPriority w:val="99"/>
    <w:unhideWhenUsed/>
    <w:rsid w:val="0070090B"/>
    <w:rPr>
      <w:color w:val="0000FF" w:themeColor="hyperlink"/>
      <w:u w:val="single"/>
    </w:rPr>
  </w:style>
  <w:style w:type="character" w:styleId="aa">
    <w:name w:val="Unresolved Mention"/>
    <w:basedOn w:val="a0"/>
    <w:uiPriority w:val="99"/>
    <w:semiHidden/>
    <w:unhideWhenUsed/>
    <w:rsid w:val="0070090B"/>
    <w:rPr>
      <w:color w:val="605E5C"/>
      <w:shd w:val="clear" w:color="auto" w:fill="E1DFDD"/>
    </w:rPr>
  </w:style>
  <w:style w:type="character" w:styleId="ab">
    <w:name w:val="FollowedHyperlink"/>
    <w:basedOn w:val="a0"/>
    <w:uiPriority w:val="99"/>
    <w:semiHidden/>
    <w:unhideWhenUsed/>
    <w:rsid w:val="00E543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zwgk/gkzcfb/202302/2023020338465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2023-02-17T03:13:00Z</dcterms:created>
  <dcterms:modified xsi:type="dcterms:W3CDTF">2023-02-17T04:48:00Z</dcterms:modified>
</cp:coreProperties>
</file>