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3841" w14:textId="6F477146" w:rsidR="00D05450" w:rsidRPr="00D05450" w:rsidRDefault="00D05450" w:rsidP="00D05450">
      <w:pPr>
        <w:jc w:val="center"/>
        <w:rPr>
          <w:rFonts w:ascii="Arial" w:hAnsi="Arial"/>
        </w:rPr>
      </w:pPr>
      <w:r w:rsidRPr="00D05450">
        <w:rPr>
          <w:rFonts w:ascii="Arial" w:hAnsi="Arial" w:cs="Times New Roman" w:hint="eastAsia"/>
          <w:b/>
          <w:bCs/>
          <w:color w:val="E36C0A"/>
          <w:sz w:val="32"/>
          <w:szCs w:val="32"/>
        </w:rPr>
        <w:t>关于支持新能源商品汽车铁路运输</w:t>
      </w:r>
      <w:r w:rsidRPr="00D05450">
        <w:rPr>
          <w:rFonts w:ascii="Arial" w:hAnsi="Arial" w:cs="Times New Roman"/>
          <w:b/>
          <w:bCs/>
          <w:color w:val="E36C0A"/>
          <w:sz w:val="32"/>
          <w:szCs w:val="32"/>
        </w:rPr>
        <w:t xml:space="preserve"> </w:t>
      </w:r>
      <w:r w:rsidRPr="00D05450">
        <w:rPr>
          <w:rFonts w:ascii="Arial" w:hAnsi="Arial" w:cs="Times New Roman"/>
          <w:b/>
          <w:bCs/>
          <w:color w:val="E36C0A"/>
          <w:sz w:val="32"/>
          <w:szCs w:val="32"/>
        </w:rPr>
        <w:t>服务新能源汽车产业发展的意见</w:t>
      </w:r>
    </w:p>
    <w:p w14:paraId="278ABE3D" w14:textId="77777777" w:rsidR="00D05450" w:rsidRPr="00D05450" w:rsidRDefault="00D05450" w:rsidP="00D05450">
      <w:pPr>
        <w:rPr>
          <w:rFonts w:ascii="Arial" w:hAnsi="Arial"/>
        </w:rPr>
      </w:pPr>
    </w:p>
    <w:p w14:paraId="3CF4FDB1" w14:textId="71215A1B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>各地区铁路监督管理局，各省、自治区、直辖市、计划单列市工业和信息化主管部门，各铁路局集团公司、各专业运输公司：</w:t>
      </w:r>
    </w:p>
    <w:p w14:paraId="1DB530F1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为深入贯彻党的二十大精神，认真贯彻落实党中央、国务院关于加快构建新发展格局、着力推动高质量发展的决策部署，支持新能源商品汽车铁路运输，更好满足新能源汽车生产企业铁路运输需求，有效服务新能源汽车产业发展，现提出以下意见。</w:t>
      </w:r>
    </w:p>
    <w:p w14:paraId="4B234586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一、总体要求</w:t>
      </w:r>
    </w:p>
    <w:p w14:paraId="232EF375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以习近平新时代中国特色社会主义思想为指导，完整、准确、全面贯彻新发展理念，服务构建新发展格局，按照党中央、国务院决策部署，统筹发展和安全，聚焦企业反映突出的新能源商品汽车铁路运输需求，明确铁路支持政策，规范铁路运输服务，加强铁路运输管理，强化铁路运输安全监管，充分发挥综合交通运输体系作用和铁路运输绿色低碳优势，积极鼓励开展新能源商品汽车铁路运输业务，不断提升铁路运输服务标准化、规范化、便利化水平，保障新能源商品汽车铁路运输安全畅通，促进降低新能源商品汽车物流成本、助力国家新能源汽车产业发展。</w:t>
      </w:r>
    </w:p>
    <w:p w14:paraId="5B3E97CF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二、支持开展新能源商品汽车铁路运输</w:t>
      </w:r>
    </w:p>
    <w:p w14:paraId="0B52C4E8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积极鼓励铁路运输企业开展新能源商品汽车铁路运输业务，对纳入工业和信息化部《道路机动车辆生产企业及产品公告》范围（出口新能源商品汽车产品不受此限制），采用</w:t>
      </w:r>
      <w:proofErr w:type="gramStart"/>
      <w:r w:rsidRPr="00D05450">
        <w:rPr>
          <w:rFonts w:ascii="Arial" w:hAnsi="Arial" w:hint="eastAsia"/>
        </w:rPr>
        <w:t>锂</w:t>
      </w:r>
      <w:proofErr w:type="gramEnd"/>
      <w:r w:rsidRPr="00D05450">
        <w:rPr>
          <w:rFonts w:ascii="Arial" w:hAnsi="Arial" w:hint="eastAsia"/>
        </w:rPr>
        <w:t>离子电池驱动的插电式混合动力或纯电动新能源商品汽车，依据《铁路安全管理条例》《铁路危险货物运输安全监督管理规定》《危险货物品名表》（</w:t>
      </w:r>
      <w:r w:rsidRPr="00D05450">
        <w:rPr>
          <w:rFonts w:ascii="Arial" w:hAnsi="Arial" w:hint="eastAsia"/>
        </w:rPr>
        <w:t>GB 12268</w:t>
      </w:r>
      <w:r w:rsidRPr="00D05450">
        <w:rPr>
          <w:rFonts w:ascii="Arial" w:hAnsi="Arial" w:hint="eastAsia"/>
        </w:rPr>
        <w:t>）等法律法规和有关标准，铁路运输新能源商品汽车不按危险货物管理，由承托双方按照本通知要求办理运输。办理新能源商品汽车国际铁路联运，应当符合铁路合作组织《国际铁路货物联运协定》附件第</w:t>
      </w:r>
      <w:r w:rsidRPr="00D05450">
        <w:rPr>
          <w:rFonts w:ascii="Arial" w:hAnsi="Arial" w:hint="eastAsia"/>
        </w:rPr>
        <w:t>2</w:t>
      </w:r>
      <w:r w:rsidRPr="00D05450">
        <w:rPr>
          <w:rFonts w:ascii="Arial" w:hAnsi="Arial" w:hint="eastAsia"/>
        </w:rPr>
        <w:t>号《危险货物运送规则》等有关规定。</w:t>
      </w:r>
    </w:p>
    <w:p w14:paraId="0158B08E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三、规范铁路运输条件</w:t>
      </w:r>
    </w:p>
    <w:p w14:paraId="4279FADF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（一）托运新能源商品汽车时，托运人应当提供新能源商品汽车产品出厂合格证（出口新能源商品汽车不受此限制），合格证应当与实际托运的新能源商品汽车产品相符。</w:t>
      </w:r>
    </w:p>
    <w:p w14:paraId="5C9A1B32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（二）电池荷电状态及油箱状态。新能源商品汽车的动力电池荷电状态不得超过</w:t>
      </w:r>
      <w:r w:rsidRPr="00D05450">
        <w:rPr>
          <w:rFonts w:ascii="Arial" w:hAnsi="Arial" w:hint="eastAsia"/>
        </w:rPr>
        <w:t>65%</w:t>
      </w:r>
      <w:r w:rsidRPr="00D05450">
        <w:rPr>
          <w:rFonts w:ascii="Arial" w:hAnsi="Arial" w:hint="eastAsia"/>
        </w:rPr>
        <w:t>。插电式混合动力汽车的油箱孔盖处于关闭状态，无泄漏、渗漏问题，铁路运输过程中不得加注、抽取油料。</w:t>
      </w:r>
    </w:p>
    <w:p w14:paraId="1F123ED5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（三）托运新能源商品汽车时，除装配的电池外，不得夹带备用电池和其他电池。除出厂配备的必备物品外，新能源商品汽车内部及后备箱内不得装载和夹带其他物品。</w:t>
      </w:r>
    </w:p>
    <w:p w14:paraId="1A0139EA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四、加强铁路运输管理</w:t>
      </w:r>
    </w:p>
    <w:p w14:paraId="3C1772E4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（一）保证货物安全。</w:t>
      </w:r>
      <w:r w:rsidRPr="00D05450">
        <w:rPr>
          <w:rFonts w:ascii="Arial" w:hAnsi="Arial" w:hint="eastAsia"/>
        </w:rPr>
        <w:t>托运人应对提供的新能源商品汽车产品出厂合格证（出口新能源商品汽车不受此限制）的真实性负责，对托运的新能源商品汽车产品质量和安全性负责。</w:t>
      </w:r>
    </w:p>
    <w:p w14:paraId="6A9F6719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（二）加强承运把关。</w:t>
      </w:r>
      <w:r w:rsidRPr="00D05450">
        <w:rPr>
          <w:rFonts w:ascii="Arial" w:hAnsi="Arial" w:hint="eastAsia"/>
        </w:rPr>
        <w:t>铁路运输企业承运新能源商品汽车时，应认真查验新能源商品汽车产品出厂合格证（出口新能源商品汽车不受此限制），无产品出厂合格证的不得承运。装载新能源商品汽车的铁路车辆、集装箱应当符合有关标准和安全技术规范的要求，不得使用技术状</w:t>
      </w:r>
      <w:r w:rsidRPr="00D05450">
        <w:rPr>
          <w:rFonts w:ascii="Arial" w:hAnsi="Arial" w:hint="eastAsia"/>
        </w:rPr>
        <w:lastRenderedPageBreak/>
        <w:t>态不良、未按规定检修（验）或者达到报废年限的车辆、集装箱。使用铁路货车装载加固新能源商品汽车时，应当符合《铁路货物装载加固技术要求》（</w:t>
      </w:r>
      <w:r w:rsidRPr="00D05450">
        <w:rPr>
          <w:rFonts w:ascii="Arial" w:hAnsi="Arial" w:hint="eastAsia"/>
        </w:rPr>
        <w:t>TB/T 30004</w:t>
      </w:r>
      <w:r w:rsidRPr="00D05450">
        <w:rPr>
          <w:rFonts w:ascii="Arial" w:hAnsi="Arial" w:hint="eastAsia"/>
        </w:rPr>
        <w:t>）。</w:t>
      </w:r>
    </w:p>
    <w:p w14:paraId="004314DC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（三）加强应急管理。</w:t>
      </w:r>
      <w:r w:rsidRPr="00D05450">
        <w:rPr>
          <w:rFonts w:ascii="Arial" w:hAnsi="Arial" w:hint="eastAsia"/>
        </w:rPr>
        <w:t>铁路运输企业、托运人等运输单位应根据《电动汽车灾害事故应急救援指南》（</w:t>
      </w:r>
      <w:r w:rsidRPr="00D05450">
        <w:rPr>
          <w:rFonts w:ascii="Arial" w:hAnsi="Arial" w:hint="eastAsia"/>
        </w:rPr>
        <w:t>GB/T 38283</w:t>
      </w:r>
      <w:r w:rsidRPr="00D05450">
        <w:rPr>
          <w:rFonts w:ascii="Arial" w:hAnsi="Arial" w:hint="eastAsia"/>
        </w:rPr>
        <w:t>），配备必要的应急救援器材、设备，发生突发事件后及时采取妥善的应急处置措施。</w:t>
      </w:r>
    </w:p>
    <w:p w14:paraId="2883E92E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五、强化铁路运输安全监管</w:t>
      </w:r>
    </w:p>
    <w:p w14:paraId="67955876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各地区铁路监管局要结合辖区实际，加强新能源商品汽车铁路运输安全监管，加大对谎报品名和违规运输行为的查处力度，切实维护新能源商品汽车铁路运输市场秩序，保障铁路运输安全畅通。要加大新能源商品汽车铁路运输相关法律法规和政策标准宣贯力度，指导督促铁路运输企业依法合</w:t>
      </w:r>
      <w:proofErr w:type="gramStart"/>
      <w:r w:rsidRPr="00D05450">
        <w:rPr>
          <w:rFonts w:ascii="Arial" w:hAnsi="Arial" w:hint="eastAsia"/>
        </w:rPr>
        <w:t>规</w:t>
      </w:r>
      <w:proofErr w:type="gramEnd"/>
      <w:r w:rsidRPr="00D05450">
        <w:rPr>
          <w:rFonts w:ascii="Arial" w:hAnsi="Arial" w:hint="eastAsia"/>
        </w:rPr>
        <w:t>办理新能源商品汽车铁路运输业务。要组织铁路运输企业及时总结新能源商品汽车铁路运输经验，结合实际提出完善相关法律法规和标准的意见建议，不断完善铁路运输安全管理，确保新能源商品汽车铁路运输安全畅通。</w:t>
      </w:r>
    </w:p>
    <w:p w14:paraId="676F8B6B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六、强化组织保障</w:t>
      </w:r>
    </w:p>
    <w:p w14:paraId="3D447EEF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（一）健全工作机制。</w:t>
      </w:r>
      <w:r w:rsidRPr="00D05450">
        <w:rPr>
          <w:rFonts w:ascii="Arial" w:hAnsi="Arial" w:hint="eastAsia"/>
        </w:rPr>
        <w:t>各地区铁路监管局、各省、自治区、直辖市、计划单列市工业和信息化主管部门和铁路运输企业要加强沟通协调，建立健全工作机制，动态掌握新能源汽车生产企业和铁路运输需求情况，及时协调解决铁路运输方面存在的问题，强化上下联动、横向协同，确保新能源商品汽车铁路运输安全畅通。</w:t>
      </w:r>
    </w:p>
    <w:p w14:paraId="07C6625B" w14:textId="77777777" w:rsidR="00D05450" w:rsidRPr="00D05450" w:rsidRDefault="00D05450" w:rsidP="00D05450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Pr="00D05450">
        <w:rPr>
          <w:rFonts w:ascii="Arial" w:hAnsi="Arial" w:hint="eastAsia"/>
          <w:b/>
          <w:bCs/>
        </w:rPr>
        <w:t>（二）加强信息管理。</w:t>
      </w:r>
      <w:r w:rsidRPr="00D05450">
        <w:rPr>
          <w:rFonts w:ascii="Arial" w:hAnsi="Arial" w:hint="eastAsia"/>
        </w:rPr>
        <w:t>铁路运输企业要组织托运人做好新能源商品汽车运输信息录入工作，掌握新能源商品汽车运量流向。各地区铁路监管局要动态掌握辖区内新能源商品汽车运输信息，并按照要求定期报送国家铁路局。</w:t>
      </w:r>
    </w:p>
    <w:p w14:paraId="60B7F421" w14:textId="15198908" w:rsidR="00D05450" w:rsidRPr="00D05450" w:rsidRDefault="00DA0CDC" w:rsidP="00DA0CDC">
      <w:pPr>
        <w:rPr>
          <w:rFonts w:ascii="Arial" w:hAnsi="Arial"/>
        </w:rPr>
      </w:pPr>
      <w:r w:rsidRPr="00D05450">
        <w:rPr>
          <w:rFonts w:ascii="Arial" w:hAnsi="Arial" w:hint="eastAsia"/>
        </w:rPr>
        <w:t xml:space="preserve">　　</w:t>
      </w:r>
      <w:r w:rsidR="00D05450" w:rsidRPr="00D05450">
        <w:rPr>
          <w:rFonts w:ascii="Arial" w:hAnsi="Arial" w:hint="eastAsia"/>
          <w:b/>
          <w:bCs/>
        </w:rPr>
        <w:t>（三）加强政策宣</w:t>
      </w:r>
      <w:proofErr w:type="gramStart"/>
      <w:r w:rsidR="00D05450" w:rsidRPr="00D05450">
        <w:rPr>
          <w:rFonts w:ascii="Arial" w:hAnsi="Arial" w:hint="eastAsia"/>
          <w:b/>
          <w:bCs/>
        </w:rPr>
        <w:t>贯</w:t>
      </w:r>
      <w:proofErr w:type="gramEnd"/>
      <w:r w:rsidR="00D05450" w:rsidRPr="00D05450">
        <w:rPr>
          <w:rFonts w:ascii="Arial" w:hAnsi="Arial" w:hint="eastAsia"/>
          <w:b/>
          <w:bCs/>
        </w:rPr>
        <w:t>。</w:t>
      </w:r>
      <w:r w:rsidR="00D05450" w:rsidRPr="00D05450">
        <w:rPr>
          <w:rFonts w:ascii="Arial" w:hAnsi="Arial" w:hint="eastAsia"/>
        </w:rPr>
        <w:t>各地区铁路监管局和铁路运输企业要通过多种方式做好政策宣贯，确保企业知晓新能源商品汽车铁路运输有关政策和安全要求，主动帮助企业办理托运手续，不断提高新能源商品汽车铁路运输服务质量。</w:t>
      </w:r>
    </w:p>
    <w:p w14:paraId="3D5663F6" w14:textId="77777777" w:rsidR="00D05450" w:rsidRPr="00D05450" w:rsidRDefault="00D05450" w:rsidP="00DA0CDC">
      <w:pPr>
        <w:rPr>
          <w:rFonts w:ascii="Arial" w:hAnsi="Arial" w:hint="eastAsia"/>
        </w:rPr>
      </w:pPr>
    </w:p>
    <w:p w14:paraId="4BA3AF48" w14:textId="77777777" w:rsidR="002C6672" w:rsidRDefault="00D05450" w:rsidP="002C6672">
      <w:pPr>
        <w:ind w:firstLine="435"/>
        <w:jc w:val="right"/>
        <w:rPr>
          <w:rFonts w:ascii="Arial" w:hAnsi="Arial"/>
        </w:rPr>
      </w:pPr>
      <w:r w:rsidRPr="00D05450">
        <w:rPr>
          <w:rFonts w:ascii="Arial" w:hAnsi="Arial" w:hint="eastAsia"/>
        </w:rPr>
        <w:t>国家铁路局</w:t>
      </w:r>
    </w:p>
    <w:p w14:paraId="1D10034D" w14:textId="0007F08B" w:rsidR="002C6672" w:rsidRDefault="00D05450" w:rsidP="002C6672">
      <w:pPr>
        <w:ind w:firstLine="435"/>
        <w:jc w:val="right"/>
        <w:rPr>
          <w:rFonts w:ascii="Arial" w:hAnsi="Arial"/>
        </w:rPr>
      </w:pPr>
      <w:r w:rsidRPr="00D05450">
        <w:rPr>
          <w:rFonts w:ascii="Arial" w:hAnsi="Arial" w:hint="eastAsia"/>
        </w:rPr>
        <w:t>工业和信息化部</w:t>
      </w:r>
    </w:p>
    <w:p w14:paraId="0C1D833D" w14:textId="6A2B6008" w:rsidR="00D05450" w:rsidRPr="00D05450" w:rsidRDefault="00D05450" w:rsidP="002C6672">
      <w:pPr>
        <w:ind w:firstLine="435"/>
        <w:jc w:val="right"/>
        <w:rPr>
          <w:rFonts w:ascii="Arial" w:hAnsi="Arial"/>
        </w:rPr>
      </w:pPr>
      <w:r w:rsidRPr="00D05450">
        <w:rPr>
          <w:rFonts w:ascii="Arial" w:hAnsi="Arial" w:hint="eastAsia"/>
        </w:rPr>
        <w:t>中国国家铁路集团有限公司</w:t>
      </w:r>
    </w:p>
    <w:p w14:paraId="63406831" w14:textId="77777777" w:rsidR="00D05450" w:rsidRPr="00D05450" w:rsidRDefault="00D05450" w:rsidP="00D05450">
      <w:pPr>
        <w:jc w:val="right"/>
        <w:rPr>
          <w:rFonts w:ascii="Arial" w:hAnsi="Arial"/>
        </w:rPr>
      </w:pPr>
      <w:r w:rsidRPr="00D05450">
        <w:rPr>
          <w:rFonts w:ascii="Arial" w:hAnsi="Arial" w:hint="eastAsia"/>
        </w:rPr>
        <w:t>2023</w:t>
      </w:r>
      <w:r w:rsidRPr="00D05450">
        <w:rPr>
          <w:rFonts w:ascii="Arial" w:hAnsi="Arial" w:hint="eastAsia"/>
        </w:rPr>
        <w:t>年</w:t>
      </w:r>
      <w:r w:rsidRPr="00D05450">
        <w:rPr>
          <w:rFonts w:ascii="Arial" w:hAnsi="Arial" w:hint="eastAsia"/>
        </w:rPr>
        <w:t>1</w:t>
      </w:r>
      <w:r w:rsidRPr="00D05450">
        <w:rPr>
          <w:rFonts w:ascii="Arial" w:hAnsi="Arial" w:hint="eastAsia"/>
        </w:rPr>
        <w:t>月</w:t>
      </w:r>
      <w:r w:rsidRPr="00D05450">
        <w:rPr>
          <w:rFonts w:ascii="Arial" w:hAnsi="Arial" w:hint="eastAsia"/>
        </w:rPr>
        <w:t>3</w:t>
      </w:r>
      <w:r w:rsidRPr="00D05450">
        <w:rPr>
          <w:rFonts w:ascii="Arial" w:hAnsi="Arial" w:hint="eastAsia"/>
        </w:rPr>
        <w:t>日</w:t>
      </w:r>
    </w:p>
    <w:p w14:paraId="3C6A28D9" w14:textId="0A0B154F" w:rsidR="00F45EEB" w:rsidRDefault="00F45EEB">
      <w:pPr>
        <w:rPr>
          <w:rFonts w:ascii="Arial" w:hAnsi="Arial"/>
        </w:rPr>
      </w:pPr>
    </w:p>
    <w:p w14:paraId="663D2D1F" w14:textId="77777777" w:rsidR="00DA0CDC" w:rsidRPr="00D05450" w:rsidRDefault="00DA0CDC">
      <w:pPr>
        <w:rPr>
          <w:rFonts w:ascii="Arial" w:hAnsi="Arial" w:hint="eastAsia"/>
        </w:rPr>
      </w:pPr>
    </w:p>
    <w:p w14:paraId="3D4C62DD" w14:textId="5FD918C0" w:rsidR="00D05450" w:rsidRPr="00D05450" w:rsidRDefault="00D05450">
      <w:pPr>
        <w:rPr>
          <w:rFonts w:ascii="Arial" w:hAnsi="Arial"/>
        </w:rPr>
      </w:pPr>
      <w:r w:rsidRPr="00D05450">
        <w:rPr>
          <w:rFonts w:ascii="Arial" w:hAnsi="Arial" w:hint="eastAsia"/>
        </w:rPr>
        <w:t>信息来源：</w:t>
      </w:r>
      <w:hyperlink r:id="rId6" w:history="1">
        <w:r w:rsidRPr="00D05450">
          <w:rPr>
            <w:rStyle w:val="a3"/>
            <w:rFonts w:ascii="Arial" w:hAnsi="Arial"/>
          </w:rPr>
          <w:t>http://www.nra.gov.cn/xxgk/gkml/ztjg/gfzd/gfxw/zuti/jgzf/202301/t20230130_339670.shtml</w:t>
        </w:r>
      </w:hyperlink>
    </w:p>
    <w:p w14:paraId="68FEB447" w14:textId="77777777" w:rsidR="00D05450" w:rsidRPr="00D05450" w:rsidRDefault="00D05450">
      <w:pPr>
        <w:rPr>
          <w:rFonts w:ascii="Arial" w:hAnsi="Arial"/>
        </w:rPr>
      </w:pPr>
    </w:p>
    <w:sectPr w:rsidR="00D05450" w:rsidRPr="00D05450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8F26" w14:textId="77777777" w:rsidR="00A024A4" w:rsidRDefault="00A024A4" w:rsidP="002C6672">
      <w:pPr>
        <w:spacing w:line="240" w:lineRule="auto"/>
      </w:pPr>
      <w:r>
        <w:separator/>
      </w:r>
    </w:p>
  </w:endnote>
  <w:endnote w:type="continuationSeparator" w:id="0">
    <w:p w14:paraId="1F33EB27" w14:textId="77777777" w:rsidR="00A024A4" w:rsidRDefault="00A024A4" w:rsidP="002C6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5A1A" w14:textId="77777777" w:rsidR="00A024A4" w:rsidRDefault="00A024A4" w:rsidP="002C6672">
      <w:pPr>
        <w:spacing w:line="240" w:lineRule="auto"/>
      </w:pPr>
      <w:r>
        <w:separator/>
      </w:r>
    </w:p>
  </w:footnote>
  <w:footnote w:type="continuationSeparator" w:id="0">
    <w:p w14:paraId="113EED50" w14:textId="77777777" w:rsidR="00A024A4" w:rsidRDefault="00A024A4" w:rsidP="002C6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450"/>
    <w:rsid w:val="002C6672"/>
    <w:rsid w:val="004D031A"/>
    <w:rsid w:val="009836A5"/>
    <w:rsid w:val="00A024A4"/>
    <w:rsid w:val="00B41EDF"/>
    <w:rsid w:val="00D05450"/>
    <w:rsid w:val="00DA0CDC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8E1C2"/>
  <w15:chartTrackingRefBased/>
  <w15:docId w15:val="{6C384BF1-33BF-495D-97FA-87CDCBDA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2"/>
        <w:szCs w:val="28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4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545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C6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66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667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6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0935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203447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134417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ra.gov.cn/xxgk/gkml/ztjg/gfzd/gfxw/zuti/jgzf/202301/t20230130_339670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2023-02-03T02:17:00Z</dcterms:created>
  <dcterms:modified xsi:type="dcterms:W3CDTF">2023-02-03T07:49:00Z</dcterms:modified>
</cp:coreProperties>
</file>