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3257" w14:textId="6062218C" w:rsidR="00313608" w:rsidRPr="00363A67" w:rsidRDefault="00313608" w:rsidP="005D4709">
      <w:pPr>
        <w:jc w:val="center"/>
        <w:rPr>
          <w:rFonts w:ascii="Arial" w:hAnsi="Arial"/>
          <w:b/>
          <w:bCs/>
          <w:color w:val="E36C0A"/>
          <w:sz w:val="32"/>
          <w:szCs w:val="32"/>
        </w:rPr>
      </w:pPr>
      <w:r w:rsidRPr="00363A67">
        <w:rPr>
          <w:rFonts w:ascii="Arial" w:hAnsi="Arial" w:hint="eastAsia"/>
          <w:b/>
          <w:bCs/>
          <w:color w:val="E36C0A"/>
          <w:sz w:val="32"/>
          <w:szCs w:val="32"/>
        </w:rPr>
        <w:t>仲裁工作指导案例</w:t>
      </w:r>
    </w:p>
    <w:p w14:paraId="47414827" w14:textId="77777777" w:rsidR="00313608" w:rsidRPr="00363A67" w:rsidRDefault="00313608" w:rsidP="005D4709">
      <w:pPr>
        <w:jc w:val="both"/>
        <w:rPr>
          <w:rFonts w:ascii="Arial" w:hAnsi="Arial"/>
          <w:b/>
          <w:bCs/>
        </w:rPr>
      </w:pPr>
    </w:p>
    <w:p w14:paraId="114E0B47" w14:textId="77777777" w:rsidR="00313608" w:rsidRPr="00363A67" w:rsidRDefault="00313608" w:rsidP="005D4709">
      <w:pPr>
        <w:jc w:val="both"/>
        <w:rPr>
          <w:rFonts w:ascii="Arial" w:hAnsi="Arial"/>
        </w:rPr>
      </w:pPr>
      <w:r w:rsidRPr="00363A67">
        <w:rPr>
          <w:rFonts w:ascii="Arial" w:hAnsi="Arial" w:hint="eastAsia"/>
        </w:rPr>
        <w:t xml:space="preserve">　　为充分发挥仲裁工作指导案例的宣传示范作用，为群众提供优质高效的仲裁法律服务，</w:t>
      </w:r>
      <w:r w:rsidRPr="00363A67">
        <w:rPr>
          <w:rFonts w:ascii="Arial" w:hAnsi="Arial" w:hint="eastAsia"/>
        </w:rPr>
        <w:t>2023</w:t>
      </w:r>
      <w:r w:rsidRPr="00363A67">
        <w:rPr>
          <w:rFonts w:ascii="Arial" w:hAnsi="Arial" w:hint="eastAsia"/>
        </w:rPr>
        <w:t>年</w:t>
      </w:r>
      <w:r w:rsidRPr="00363A67">
        <w:rPr>
          <w:rFonts w:ascii="Arial" w:hAnsi="Arial" w:hint="eastAsia"/>
        </w:rPr>
        <w:t>1</w:t>
      </w:r>
      <w:r w:rsidRPr="00363A67">
        <w:rPr>
          <w:rFonts w:ascii="Arial" w:hAnsi="Arial" w:hint="eastAsia"/>
        </w:rPr>
        <w:t>月</w:t>
      </w:r>
      <w:r w:rsidRPr="00363A67">
        <w:rPr>
          <w:rFonts w:ascii="Arial" w:hAnsi="Arial" w:hint="eastAsia"/>
        </w:rPr>
        <w:t>11</w:t>
      </w:r>
      <w:r w:rsidRPr="00363A67">
        <w:rPr>
          <w:rFonts w:ascii="Arial" w:hAnsi="Arial" w:hint="eastAsia"/>
        </w:rPr>
        <w:t>日，司法部发布“上海仲裁委员会关于申请人某建材公司与被申请人某建筑公司就货物买卖合同纠纷仲裁案”“广州仲裁委员会关于申请人某国有企业与被申请人某中国香港居民就房屋租赁合同纠纷仲裁案”“武汉仲裁委员会关于申请人某文化公司与被申请人某动漫公司就著作权合同纠纷仲裁案”</w:t>
      </w:r>
      <w:r w:rsidRPr="00363A67">
        <w:rPr>
          <w:rFonts w:ascii="Arial" w:hAnsi="Arial" w:hint="eastAsia"/>
        </w:rPr>
        <w:t>3</w:t>
      </w:r>
      <w:r w:rsidRPr="00363A67">
        <w:rPr>
          <w:rFonts w:ascii="Arial" w:hAnsi="Arial" w:hint="eastAsia"/>
        </w:rPr>
        <w:t>个案例，旨在向社会宣传推介仲裁在高效、便捷、专业化解矛盾纠纷的优势特点和工作成效，为推动仲裁法律服务在经济社会发展中发挥更大作用提供可推广、可借鉴的典型经验。</w:t>
      </w:r>
    </w:p>
    <w:p w14:paraId="7A13700A" w14:textId="77777777" w:rsidR="00313608" w:rsidRPr="00363A67" w:rsidRDefault="00313608" w:rsidP="005D4709">
      <w:pPr>
        <w:jc w:val="both"/>
        <w:rPr>
          <w:rFonts w:ascii="Arial" w:hAnsi="Arial"/>
        </w:rPr>
      </w:pPr>
      <w:r w:rsidRPr="00363A67">
        <w:rPr>
          <w:rFonts w:ascii="Arial" w:hAnsi="Arial" w:hint="eastAsia"/>
        </w:rPr>
        <w:t xml:space="preserve">　　此次发布的案例，主要集中在货物买卖、房屋租赁和知识产权等与人民群众生产生活密切相关的领域，充分反映了仲裁高效便捷专业化解纠纷的优势特点，体现了仲裁机构在服务大局中的责任担当，具有较强的典型性和示范性。例如，“上海仲裁委员会关于申请人某建材公司与被申请人某建筑公司就货物买卖合同纠纷仲裁案”中，仲裁机构发布了《新冠疫情期间提升仲裁便利性为当事人纾困解难的特别措施》，为当事人减免</w:t>
      </w:r>
      <w:r w:rsidRPr="00363A67">
        <w:rPr>
          <w:rFonts w:ascii="Arial" w:hAnsi="Arial" w:hint="eastAsia"/>
        </w:rPr>
        <w:t>50%</w:t>
      </w:r>
      <w:r w:rsidRPr="00363A67">
        <w:rPr>
          <w:rFonts w:ascii="Arial" w:hAnsi="Arial" w:hint="eastAsia"/>
        </w:rPr>
        <w:t>仲裁费用，体现了仲裁为民、服务大局的公益属性；“广州仲裁委员会关于申请人某国有企业与被申请人某中国香港居民就房屋租赁合同纠纷仲裁案”通过在线争议解决方式化解矛盾纠纷，体现了仲裁高效便捷的服务优势；“武汉仲裁委员会关于申请人某文化公司与被申请人某动漫公司就著作权合同纠纷仲裁案”主要体现了仲裁在知识产权新型纠纷处理中的专业性特点。</w:t>
      </w:r>
    </w:p>
    <w:p w14:paraId="56BE3A40" w14:textId="77777777" w:rsidR="00313608" w:rsidRPr="00363A67" w:rsidRDefault="00313608" w:rsidP="005D4709">
      <w:pPr>
        <w:jc w:val="both"/>
        <w:rPr>
          <w:rFonts w:ascii="Arial" w:hAnsi="Arial"/>
        </w:rPr>
      </w:pPr>
      <w:r w:rsidRPr="00363A67">
        <w:rPr>
          <w:rFonts w:ascii="Arial" w:hAnsi="Arial" w:hint="eastAsia"/>
        </w:rPr>
        <w:t xml:space="preserve">　　近年来，各级司法行政机关和仲裁机构充分发挥仲裁在矛盾纠纷多元化解机制中的重要作用，指导支持仲裁机构推出便民服务措施、完善在线争议解决机制、推进仲裁专业化发展，及时有效化解了大量矛盾纠纷，为服务经济社会高质量发展、推进新时代全面依法治国</w:t>
      </w:r>
      <w:proofErr w:type="gramStart"/>
      <w:r w:rsidRPr="00363A67">
        <w:rPr>
          <w:rFonts w:ascii="Arial" w:hAnsi="Arial" w:hint="eastAsia"/>
        </w:rPr>
        <w:t>作出</w:t>
      </w:r>
      <w:proofErr w:type="gramEnd"/>
      <w:r w:rsidRPr="00363A67">
        <w:rPr>
          <w:rFonts w:ascii="Arial" w:hAnsi="Arial" w:hint="eastAsia"/>
        </w:rPr>
        <w:t>了重要贡献。</w:t>
      </w:r>
    </w:p>
    <w:p w14:paraId="5ACD8496" w14:textId="77777777" w:rsidR="00313608" w:rsidRPr="00363A67" w:rsidRDefault="00313608" w:rsidP="005D4709">
      <w:pPr>
        <w:jc w:val="both"/>
        <w:rPr>
          <w:rFonts w:ascii="Arial" w:hAnsi="Arial"/>
        </w:rPr>
      </w:pPr>
      <w:r w:rsidRPr="00363A67">
        <w:rPr>
          <w:rFonts w:ascii="Arial" w:hAnsi="Arial" w:hint="eastAsia"/>
        </w:rPr>
        <w:t xml:space="preserve">　　以上案例均可在中国法律服务网的“司法行政（法律服务）案例库”中搜索查阅。</w:t>
      </w:r>
    </w:p>
    <w:p w14:paraId="717CB4D1" w14:textId="77777777" w:rsidR="00313608" w:rsidRPr="00363A67" w:rsidRDefault="00313608" w:rsidP="005D4709">
      <w:pPr>
        <w:jc w:val="both"/>
        <w:rPr>
          <w:rFonts w:ascii="Arial" w:hAnsi="Arial"/>
          <w:b/>
          <w:bCs/>
        </w:rPr>
      </w:pPr>
    </w:p>
    <w:p w14:paraId="456B314A" w14:textId="01A1416D" w:rsidR="005D4709" w:rsidRPr="005D4709" w:rsidRDefault="00313608" w:rsidP="005D4709">
      <w:pPr>
        <w:jc w:val="center"/>
        <w:rPr>
          <w:rFonts w:ascii="Arial" w:hAnsi="Arial"/>
          <w:b/>
          <w:bCs/>
          <w:szCs w:val="22"/>
        </w:rPr>
      </w:pPr>
      <w:r w:rsidRPr="005D4709">
        <w:rPr>
          <w:rFonts w:ascii="Arial" w:hAnsi="Arial" w:hint="eastAsia"/>
          <w:b/>
          <w:bCs/>
          <w:szCs w:val="22"/>
        </w:rPr>
        <w:t>案例一</w:t>
      </w:r>
    </w:p>
    <w:p w14:paraId="52B91A3A" w14:textId="77777777" w:rsidR="005D4709" w:rsidRPr="005D4709" w:rsidRDefault="005D4709" w:rsidP="005D4709">
      <w:pPr>
        <w:jc w:val="center"/>
        <w:rPr>
          <w:rFonts w:ascii="Arial" w:hAnsi="Arial"/>
          <w:b/>
          <w:bCs/>
          <w:szCs w:val="22"/>
        </w:rPr>
      </w:pPr>
    </w:p>
    <w:p w14:paraId="39A1BABF" w14:textId="07D35D90" w:rsidR="00313608" w:rsidRPr="005D4709" w:rsidRDefault="00313608" w:rsidP="005D4709">
      <w:pPr>
        <w:jc w:val="center"/>
        <w:rPr>
          <w:rFonts w:ascii="Arial" w:hAnsi="Arial"/>
          <w:sz w:val="24"/>
          <w:szCs w:val="24"/>
        </w:rPr>
      </w:pPr>
      <w:r w:rsidRPr="005D4709">
        <w:rPr>
          <w:rFonts w:ascii="Arial" w:hAnsi="Arial" w:hint="eastAsia"/>
          <w:b/>
          <w:bCs/>
          <w:sz w:val="24"/>
          <w:szCs w:val="24"/>
        </w:rPr>
        <w:t>上海仲裁委员会关于申请人某建材公司与被申请人某建筑公司就货物买卖合同纠纷仲裁案</w:t>
      </w:r>
    </w:p>
    <w:p w14:paraId="0C86071C" w14:textId="0741C379" w:rsidR="00313608" w:rsidRPr="00363A67" w:rsidRDefault="00313608" w:rsidP="005D4709">
      <w:pPr>
        <w:jc w:val="both"/>
        <w:rPr>
          <w:rFonts w:ascii="Arial" w:hAnsi="Arial"/>
        </w:rPr>
      </w:pPr>
    </w:p>
    <w:p w14:paraId="0CCB68DC" w14:textId="77777777" w:rsidR="00313608" w:rsidRPr="00363A67" w:rsidRDefault="00313608" w:rsidP="005D4709">
      <w:pPr>
        <w:jc w:val="both"/>
        <w:rPr>
          <w:rFonts w:ascii="Arial" w:hAnsi="Arial"/>
        </w:rPr>
      </w:pPr>
      <w:r w:rsidRPr="00363A67">
        <w:rPr>
          <w:rFonts w:ascii="Arial" w:hAnsi="Arial" w:hint="eastAsia"/>
        </w:rPr>
        <w:t xml:space="preserve">　　</w:t>
      </w:r>
      <w:r w:rsidRPr="00363A67">
        <w:rPr>
          <w:rFonts w:ascii="Arial" w:hAnsi="Arial" w:hint="eastAsia"/>
          <w:b/>
          <w:bCs/>
        </w:rPr>
        <w:t>案例简介：</w:t>
      </w:r>
    </w:p>
    <w:p w14:paraId="72826F6C" w14:textId="77777777" w:rsidR="00313608" w:rsidRPr="00363A67" w:rsidRDefault="00313608" w:rsidP="005D4709">
      <w:pPr>
        <w:jc w:val="both"/>
        <w:rPr>
          <w:rFonts w:ascii="Arial" w:hAnsi="Arial"/>
        </w:rPr>
      </w:pPr>
      <w:r w:rsidRPr="00363A67">
        <w:rPr>
          <w:rFonts w:ascii="Arial" w:hAnsi="Arial" w:hint="eastAsia"/>
        </w:rPr>
        <w:t xml:space="preserve">　　</w:t>
      </w:r>
      <w:r w:rsidRPr="00363A67">
        <w:rPr>
          <w:rFonts w:ascii="Arial" w:hAnsi="Arial" w:hint="eastAsia"/>
        </w:rPr>
        <w:t>2019</w:t>
      </w:r>
      <w:r w:rsidRPr="00363A67">
        <w:rPr>
          <w:rFonts w:ascii="Arial" w:hAnsi="Arial" w:hint="eastAsia"/>
        </w:rPr>
        <w:t>年</w:t>
      </w:r>
      <w:r w:rsidRPr="00363A67">
        <w:rPr>
          <w:rFonts w:ascii="Arial" w:hAnsi="Arial" w:hint="eastAsia"/>
        </w:rPr>
        <w:t>11</w:t>
      </w:r>
      <w:r w:rsidRPr="00363A67">
        <w:rPr>
          <w:rFonts w:ascii="Arial" w:hAnsi="Arial" w:hint="eastAsia"/>
        </w:rPr>
        <w:t>月，申请人某建材公司与被申请人某建筑公司签署《物资采购合同》，约定申请人为被申请人某房地产项目工程供货。</w:t>
      </w:r>
      <w:r w:rsidRPr="00363A67">
        <w:rPr>
          <w:rFonts w:ascii="Arial" w:hAnsi="Arial" w:hint="eastAsia"/>
        </w:rPr>
        <w:t>2021</w:t>
      </w:r>
      <w:r w:rsidRPr="00363A67">
        <w:rPr>
          <w:rFonts w:ascii="Arial" w:hAnsi="Arial" w:hint="eastAsia"/>
        </w:rPr>
        <w:t>年</w:t>
      </w:r>
      <w:r w:rsidRPr="00363A67">
        <w:rPr>
          <w:rFonts w:ascii="Arial" w:hAnsi="Arial" w:hint="eastAsia"/>
        </w:rPr>
        <w:t>12</w:t>
      </w:r>
      <w:r w:rsidRPr="00363A67">
        <w:rPr>
          <w:rFonts w:ascii="Arial" w:hAnsi="Arial" w:hint="eastAsia"/>
        </w:rPr>
        <w:t>月，双方当事人通过《企业对账函》确定最终结算金额为</w:t>
      </w:r>
      <w:r w:rsidRPr="00363A67">
        <w:rPr>
          <w:rFonts w:ascii="Arial" w:hAnsi="Arial" w:hint="eastAsia"/>
        </w:rPr>
        <w:t>800</w:t>
      </w:r>
      <w:r w:rsidRPr="00363A67">
        <w:rPr>
          <w:rFonts w:ascii="Arial" w:hAnsi="Arial" w:hint="eastAsia"/>
        </w:rPr>
        <w:t>余万元，但仍有</w:t>
      </w:r>
      <w:r w:rsidRPr="00363A67">
        <w:rPr>
          <w:rFonts w:ascii="Arial" w:hAnsi="Arial" w:hint="eastAsia"/>
        </w:rPr>
        <w:t>197</w:t>
      </w:r>
      <w:r w:rsidRPr="00363A67">
        <w:rPr>
          <w:rFonts w:ascii="Arial" w:hAnsi="Arial" w:hint="eastAsia"/>
        </w:rPr>
        <w:t>万余元未</w:t>
      </w:r>
      <w:proofErr w:type="gramStart"/>
      <w:r w:rsidRPr="00363A67">
        <w:rPr>
          <w:rFonts w:ascii="Arial" w:hAnsi="Arial" w:hint="eastAsia"/>
        </w:rPr>
        <w:t>予支</w:t>
      </w:r>
      <w:proofErr w:type="gramEnd"/>
      <w:r w:rsidRPr="00363A67">
        <w:rPr>
          <w:rFonts w:ascii="Arial" w:hAnsi="Arial" w:hint="eastAsia"/>
        </w:rPr>
        <w:t>付，故申请人提起仲裁申请，请求仲裁庭裁决被申请人支付剩余欠付货款和仲裁费。被申请人对申请人主张的货款金额无异议，但</w:t>
      </w:r>
      <w:proofErr w:type="gramStart"/>
      <w:r w:rsidRPr="00363A67">
        <w:rPr>
          <w:rFonts w:ascii="Arial" w:hAnsi="Arial" w:hint="eastAsia"/>
        </w:rPr>
        <w:t>认为案涉合同</w:t>
      </w:r>
      <w:proofErr w:type="gramEnd"/>
      <w:r w:rsidRPr="00363A67">
        <w:rPr>
          <w:rFonts w:ascii="Arial" w:hAnsi="Arial" w:hint="eastAsia"/>
        </w:rPr>
        <w:t>约定的付款条件尚未成就，故不同意支付上述货款。</w:t>
      </w:r>
    </w:p>
    <w:p w14:paraId="10F98896" w14:textId="77777777" w:rsidR="00313608" w:rsidRPr="00363A67" w:rsidRDefault="00313608" w:rsidP="005D4709">
      <w:pPr>
        <w:jc w:val="both"/>
        <w:rPr>
          <w:rFonts w:ascii="Arial" w:hAnsi="Arial"/>
        </w:rPr>
      </w:pPr>
      <w:r w:rsidRPr="00363A67">
        <w:rPr>
          <w:rFonts w:ascii="Arial" w:hAnsi="Arial" w:hint="eastAsia"/>
        </w:rPr>
        <w:t xml:space="preserve">　　上海仲裁委员会受理该案后，仲裁</w:t>
      </w:r>
      <w:proofErr w:type="gramStart"/>
      <w:r w:rsidRPr="00363A67">
        <w:rPr>
          <w:rFonts w:ascii="Arial" w:hAnsi="Arial" w:hint="eastAsia"/>
        </w:rPr>
        <w:t>庭积极</w:t>
      </w:r>
      <w:proofErr w:type="gramEnd"/>
      <w:r w:rsidRPr="00363A67">
        <w:rPr>
          <w:rFonts w:ascii="Arial" w:hAnsi="Arial" w:hint="eastAsia"/>
        </w:rPr>
        <w:t>组织双方进行调解，结合《上海仲裁委员会新冠疫情期间提升仲裁便利性为当事人纾困解难的特别措施》，最终通过调解协议明确本案仲裁费减免</w:t>
      </w:r>
      <w:r w:rsidRPr="00363A67">
        <w:rPr>
          <w:rFonts w:ascii="Arial" w:hAnsi="Arial" w:hint="eastAsia"/>
        </w:rPr>
        <w:t>50%</w:t>
      </w:r>
      <w:r w:rsidRPr="00363A67">
        <w:rPr>
          <w:rFonts w:ascii="Arial" w:hAnsi="Arial" w:hint="eastAsia"/>
        </w:rPr>
        <w:t>退至申请人，剩余</w:t>
      </w:r>
      <w:r w:rsidRPr="00363A67">
        <w:rPr>
          <w:rFonts w:ascii="Arial" w:hAnsi="Arial" w:hint="eastAsia"/>
        </w:rPr>
        <w:t>50%</w:t>
      </w:r>
      <w:r w:rsidRPr="00363A67">
        <w:rPr>
          <w:rFonts w:ascii="Arial" w:hAnsi="Arial" w:hint="eastAsia"/>
        </w:rPr>
        <w:t>的仲裁费全部由被申请人承担；被申请人于</w:t>
      </w:r>
      <w:r w:rsidRPr="00363A67">
        <w:rPr>
          <w:rFonts w:ascii="Arial" w:hAnsi="Arial" w:hint="eastAsia"/>
        </w:rPr>
        <w:t>2022</w:t>
      </w:r>
      <w:r w:rsidRPr="00363A67">
        <w:rPr>
          <w:rFonts w:ascii="Arial" w:hAnsi="Arial" w:hint="eastAsia"/>
        </w:rPr>
        <w:t>年</w:t>
      </w:r>
      <w:r w:rsidRPr="00363A67">
        <w:rPr>
          <w:rFonts w:ascii="Arial" w:hAnsi="Arial" w:hint="eastAsia"/>
        </w:rPr>
        <w:t>6</w:t>
      </w:r>
      <w:r w:rsidRPr="00363A67">
        <w:rPr>
          <w:rFonts w:ascii="Arial" w:hAnsi="Arial" w:hint="eastAsia"/>
        </w:rPr>
        <w:t>月</w:t>
      </w:r>
      <w:r w:rsidRPr="00363A67">
        <w:rPr>
          <w:rFonts w:ascii="Arial" w:hAnsi="Arial" w:hint="eastAsia"/>
        </w:rPr>
        <w:t>30</w:t>
      </w:r>
      <w:r w:rsidRPr="00363A67">
        <w:rPr>
          <w:rFonts w:ascii="Arial" w:hAnsi="Arial" w:hint="eastAsia"/>
        </w:rPr>
        <w:lastRenderedPageBreak/>
        <w:t>日前向申请人支付剩余全部货款，申请人在收到货款后的</w:t>
      </w:r>
      <w:r w:rsidRPr="00363A67">
        <w:rPr>
          <w:rFonts w:ascii="Arial" w:hAnsi="Arial" w:hint="eastAsia"/>
        </w:rPr>
        <w:t>3</w:t>
      </w:r>
      <w:r w:rsidRPr="00363A67">
        <w:rPr>
          <w:rFonts w:ascii="Arial" w:hAnsi="Arial" w:hint="eastAsia"/>
        </w:rPr>
        <w:t>个工作日解除保全，从而打消被申请人顾虑。</w:t>
      </w:r>
    </w:p>
    <w:p w14:paraId="4FF989D4" w14:textId="77777777" w:rsidR="00313608" w:rsidRPr="00363A67" w:rsidRDefault="00313608" w:rsidP="005D4709">
      <w:pPr>
        <w:jc w:val="both"/>
        <w:rPr>
          <w:rFonts w:ascii="Arial" w:hAnsi="Arial"/>
        </w:rPr>
      </w:pPr>
      <w:r w:rsidRPr="00363A67">
        <w:rPr>
          <w:rFonts w:ascii="Arial" w:hAnsi="Arial" w:hint="eastAsia"/>
        </w:rPr>
        <w:t xml:space="preserve">　　上海仲裁委员会秉承公正、专业、高效的宗旨，在担起定</w:t>
      </w:r>
      <w:proofErr w:type="gramStart"/>
      <w:r w:rsidRPr="00363A67">
        <w:rPr>
          <w:rFonts w:ascii="Arial" w:hAnsi="Arial" w:hint="eastAsia"/>
        </w:rPr>
        <w:t>纷</w:t>
      </w:r>
      <w:proofErr w:type="gramEnd"/>
      <w:r w:rsidRPr="00363A67">
        <w:rPr>
          <w:rFonts w:ascii="Arial" w:hAnsi="Arial" w:hint="eastAsia"/>
        </w:rPr>
        <w:t>止争的社会责任同时，制定出台了仲裁费用减免等为当事人</w:t>
      </w:r>
      <w:proofErr w:type="gramStart"/>
      <w:r w:rsidRPr="00363A67">
        <w:rPr>
          <w:rFonts w:ascii="Arial" w:hAnsi="Arial" w:hint="eastAsia"/>
        </w:rPr>
        <w:t>纾</w:t>
      </w:r>
      <w:proofErr w:type="gramEnd"/>
      <w:r w:rsidRPr="00363A67">
        <w:rPr>
          <w:rFonts w:ascii="Arial" w:hAnsi="Arial" w:hint="eastAsia"/>
        </w:rPr>
        <w:t>困解难的一系列措施，共计减免仲裁费逾</w:t>
      </w:r>
      <w:r w:rsidRPr="00363A67">
        <w:rPr>
          <w:rFonts w:ascii="Arial" w:hAnsi="Arial" w:hint="eastAsia"/>
        </w:rPr>
        <w:t>2600</w:t>
      </w:r>
      <w:r w:rsidRPr="00363A67">
        <w:rPr>
          <w:rFonts w:ascii="Arial" w:hAnsi="Arial" w:hint="eastAsia"/>
        </w:rPr>
        <w:t>万元，切实减轻市场主体纠纷解决负担，体现仲裁为民、服务大局的公益属性，为助力市场主体复工复产复市发挥了重要作用。</w:t>
      </w:r>
    </w:p>
    <w:p w14:paraId="332971B8" w14:textId="77777777" w:rsidR="00313608" w:rsidRPr="00363A67" w:rsidRDefault="00313608" w:rsidP="005D4709">
      <w:pPr>
        <w:jc w:val="both"/>
        <w:rPr>
          <w:rFonts w:ascii="Arial" w:hAnsi="Arial"/>
        </w:rPr>
      </w:pPr>
      <w:r w:rsidRPr="00363A67">
        <w:rPr>
          <w:rFonts w:ascii="Arial" w:hAnsi="Arial" w:hint="eastAsia"/>
        </w:rPr>
        <w:t xml:space="preserve">　　案例编号：</w:t>
      </w:r>
      <w:r w:rsidRPr="00363A67">
        <w:rPr>
          <w:rFonts w:ascii="Arial" w:hAnsi="Arial" w:hint="eastAsia"/>
        </w:rPr>
        <w:t>SHGNZC1645584177</w:t>
      </w:r>
    </w:p>
    <w:p w14:paraId="04CBF142" w14:textId="77777777" w:rsidR="00313608" w:rsidRPr="00363A67" w:rsidRDefault="00313608" w:rsidP="005D4709">
      <w:pPr>
        <w:jc w:val="both"/>
        <w:rPr>
          <w:rFonts w:ascii="Arial" w:hAnsi="Arial"/>
          <w:b/>
          <w:bCs/>
        </w:rPr>
      </w:pPr>
    </w:p>
    <w:p w14:paraId="43497C90" w14:textId="77777777" w:rsidR="005D4709" w:rsidRPr="005D4709" w:rsidRDefault="00313608" w:rsidP="005D4709">
      <w:pPr>
        <w:jc w:val="center"/>
        <w:rPr>
          <w:rFonts w:ascii="Arial" w:hAnsi="Arial"/>
          <w:b/>
          <w:bCs/>
          <w:szCs w:val="22"/>
        </w:rPr>
      </w:pPr>
      <w:r w:rsidRPr="005D4709">
        <w:rPr>
          <w:rFonts w:ascii="Arial" w:hAnsi="Arial" w:hint="eastAsia"/>
          <w:b/>
          <w:bCs/>
          <w:szCs w:val="22"/>
        </w:rPr>
        <w:t>案例二</w:t>
      </w:r>
    </w:p>
    <w:p w14:paraId="29E5FBB3" w14:textId="77777777" w:rsidR="005D4709" w:rsidRPr="005D4709" w:rsidRDefault="005D4709" w:rsidP="005D4709">
      <w:pPr>
        <w:jc w:val="center"/>
        <w:rPr>
          <w:rFonts w:ascii="Arial" w:hAnsi="Arial"/>
          <w:b/>
          <w:bCs/>
          <w:szCs w:val="22"/>
        </w:rPr>
      </w:pPr>
    </w:p>
    <w:p w14:paraId="08542899" w14:textId="223016C3" w:rsidR="00313608" w:rsidRPr="005D4709" w:rsidRDefault="00313608" w:rsidP="005D4709">
      <w:pPr>
        <w:jc w:val="center"/>
        <w:rPr>
          <w:rFonts w:ascii="Arial" w:hAnsi="Arial"/>
          <w:b/>
          <w:bCs/>
          <w:sz w:val="24"/>
          <w:szCs w:val="24"/>
        </w:rPr>
      </w:pPr>
      <w:r w:rsidRPr="005D4709">
        <w:rPr>
          <w:rFonts w:ascii="Arial" w:hAnsi="Arial" w:hint="eastAsia"/>
          <w:b/>
          <w:bCs/>
          <w:sz w:val="24"/>
          <w:szCs w:val="24"/>
        </w:rPr>
        <w:t>广州仲裁委员会关于申请人某国有企业与被申请人某中国香港居民就房屋租赁合同纠纷仲裁案</w:t>
      </w:r>
    </w:p>
    <w:p w14:paraId="5CC9C66E" w14:textId="77777777" w:rsidR="00E6305C" w:rsidRPr="00E6305C" w:rsidRDefault="00E6305C" w:rsidP="005D4709">
      <w:pPr>
        <w:jc w:val="both"/>
        <w:rPr>
          <w:rFonts w:ascii="Arial" w:hAnsi="Arial"/>
        </w:rPr>
      </w:pPr>
    </w:p>
    <w:p w14:paraId="1FA63C64" w14:textId="77777777" w:rsidR="00313608" w:rsidRPr="00363A67" w:rsidRDefault="00313608" w:rsidP="005D4709">
      <w:pPr>
        <w:jc w:val="both"/>
        <w:rPr>
          <w:rFonts w:ascii="Arial" w:hAnsi="Arial"/>
        </w:rPr>
      </w:pPr>
      <w:r w:rsidRPr="00363A67">
        <w:rPr>
          <w:rFonts w:ascii="Arial" w:hAnsi="Arial" w:hint="eastAsia"/>
          <w:b/>
          <w:bCs/>
        </w:rPr>
        <w:t xml:space="preserve">　　案例简介：</w:t>
      </w:r>
    </w:p>
    <w:p w14:paraId="476794C1" w14:textId="77777777" w:rsidR="00313608" w:rsidRPr="00363A67" w:rsidRDefault="00313608" w:rsidP="005D4709">
      <w:pPr>
        <w:jc w:val="both"/>
        <w:rPr>
          <w:rFonts w:ascii="Arial" w:hAnsi="Arial"/>
        </w:rPr>
      </w:pPr>
      <w:r w:rsidRPr="00363A67">
        <w:rPr>
          <w:rFonts w:ascii="Arial" w:hAnsi="Arial" w:hint="eastAsia"/>
        </w:rPr>
        <w:t xml:space="preserve">　　本案申请人是一家国有企业，被申请人是中国香港居民，被申请人承租申请人所有的涉案商铺，但并未按合同约定支付相应租金及综合管理费，经申请人催收后仍长期拖欠。后申请人根据仲裁协议向广州仲裁委员会提交仲裁申请。</w:t>
      </w:r>
    </w:p>
    <w:p w14:paraId="6BC29471" w14:textId="77777777" w:rsidR="00313608" w:rsidRPr="00363A67" w:rsidRDefault="00313608" w:rsidP="005D4709">
      <w:pPr>
        <w:jc w:val="both"/>
        <w:rPr>
          <w:rFonts w:ascii="Arial" w:hAnsi="Arial"/>
        </w:rPr>
      </w:pPr>
      <w:r w:rsidRPr="00363A67">
        <w:rPr>
          <w:rFonts w:ascii="Arial" w:hAnsi="Arial" w:hint="eastAsia"/>
        </w:rPr>
        <w:t xml:space="preserve">　　仲裁庭在充分尊重当事人意愿的基础上，积极协调申请人与被申请人进行调解。考虑到被申请人与在国外居住的案外人共同经营涉案商铺，在当前新冠肺炎疫情严峻形势下，线下开庭存在困难，仲裁庭多次组织通过广州仲裁委员会在线争议解决（</w:t>
      </w:r>
      <w:r w:rsidRPr="00363A67">
        <w:rPr>
          <w:rFonts w:ascii="Arial" w:hAnsi="Arial" w:hint="eastAsia"/>
        </w:rPr>
        <w:t>ODR</w:t>
      </w:r>
      <w:r w:rsidRPr="00363A67">
        <w:rPr>
          <w:rFonts w:ascii="Arial" w:hAnsi="Arial" w:hint="eastAsia"/>
        </w:rPr>
        <w:t>）平台与各方当事人进行在线调解，最终在调解协议中明确申请人减免被申请人部分违约金并同意被申请人分期付款的方案，案外人亦同意与被申请人一起支付款项，承担连带清偿责任，实现了当事人双赢的结果。</w:t>
      </w:r>
    </w:p>
    <w:p w14:paraId="22C59535" w14:textId="77777777" w:rsidR="00313608" w:rsidRPr="00363A67" w:rsidRDefault="00313608" w:rsidP="005D4709">
      <w:pPr>
        <w:jc w:val="both"/>
        <w:rPr>
          <w:rFonts w:ascii="Arial" w:hAnsi="Arial"/>
        </w:rPr>
      </w:pPr>
      <w:r w:rsidRPr="00363A67">
        <w:rPr>
          <w:rFonts w:ascii="Arial" w:hAnsi="Arial" w:hint="eastAsia"/>
        </w:rPr>
        <w:t xml:space="preserve">　　近年来，广州仲裁委员会积极参与亚太经合组织（以下简称</w:t>
      </w:r>
      <w:r w:rsidRPr="00363A67">
        <w:rPr>
          <w:rFonts w:ascii="Arial" w:hAnsi="Arial" w:hint="eastAsia"/>
        </w:rPr>
        <w:t>APEC</w:t>
      </w:r>
      <w:r w:rsidRPr="00363A67">
        <w:rPr>
          <w:rFonts w:ascii="Arial" w:hAnsi="Arial" w:hint="eastAsia"/>
        </w:rPr>
        <w:t>）企业间跨境商事争议在线解决机制项目（以下简称</w:t>
      </w:r>
      <w:r w:rsidRPr="00363A67">
        <w:rPr>
          <w:rFonts w:ascii="Arial" w:hAnsi="Arial" w:hint="eastAsia"/>
        </w:rPr>
        <w:t>APEC-ODR</w:t>
      </w:r>
      <w:r w:rsidRPr="00363A67">
        <w:rPr>
          <w:rFonts w:ascii="Arial" w:hAnsi="Arial" w:hint="eastAsia"/>
        </w:rPr>
        <w:t>）建设。</w:t>
      </w:r>
      <w:r w:rsidRPr="00363A67">
        <w:rPr>
          <w:rFonts w:ascii="Arial" w:hAnsi="Arial" w:hint="eastAsia"/>
        </w:rPr>
        <w:t>2021</w:t>
      </w:r>
      <w:r w:rsidRPr="00363A67">
        <w:rPr>
          <w:rFonts w:ascii="Arial" w:hAnsi="Arial" w:hint="eastAsia"/>
        </w:rPr>
        <w:t>年</w:t>
      </w:r>
      <w:r w:rsidRPr="00363A67">
        <w:rPr>
          <w:rFonts w:ascii="Arial" w:hAnsi="Arial" w:hint="eastAsia"/>
        </w:rPr>
        <w:t>1</w:t>
      </w:r>
      <w:r w:rsidRPr="00363A67">
        <w:rPr>
          <w:rFonts w:ascii="Arial" w:hAnsi="Arial" w:hint="eastAsia"/>
        </w:rPr>
        <w:t>月上线全球首个</w:t>
      </w:r>
      <w:r w:rsidRPr="00363A67">
        <w:rPr>
          <w:rFonts w:ascii="Arial" w:hAnsi="Arial" w:hint="eastAsia"/>
        </w:rPr>
        <w:t>APEC-ODR</w:t>
      </w:r>
      <w:r w:rsidRPr="00363A67">
        <w:rPr>
          <w:rFonts w:ascii="Arial" w:hAnsi="Arial" w:hint="eastAsia"/>
        </w:rPr>
        <w:t>平台，为</w:t>
      </w:r>
      <w:r w:rsidRPr="00363A67">
        <w:rPr>
          <w:rFonts w:ascii="Arial" w:hAnsi="Arial" w:hint="eastAsia"/>
        </w:rPr>
        <w:t>APEC21</w:t>
      </w:r>
      <w:r w:rsidRPr="00363A67">
        <w:rPr>
          <w:rFonts w:ascii="Arial" w:hAnsi="Arial" w:hint="eastAsia"/>
        </w:rPr>
        <w:t>个成员经济体的商</w:t>
      </w:r>
      <w:proofErr w:type="gramStart"/>
      <w:r w:rsidRPr="00363A67">
        <w:rPr>
          <w:rFonts w:ascii="Arial" w:hAnsi="Arial" w:hint="eastAsia"/>
        </w:rPr>
        <w:t>事主体</w:t>
      </w:r>
      <w:proofErr w:type="gramEnd"/>
      <w:r w:rsidRPr="00363A67">
        <w:rPr>
          <w:rFonts w:ascii="Arial" w:hAnsi="Arial" w:hint="eastAsia"/>
        </w:rPr>
        <w:t>提供高效、便捷、低成本的一站式商事争议在线解决服务。</w:t>
      </w:r>
      <w:r w:rsidRPr="00363A67">
        <w:rPr>
          <w:rFonts w:ascii="Arial" w:hAnsi="Arial" w:hint="eastAsia"/>
        </w:rPr>
        <w:t>2022</w:t>
      </w:r>
      <w:r w:rsidRPr="00363A67">
        <w:rPr>
          <w:rFonts w:ascii="Arial" w:hAnsi="Arial" w:hint="eastAsia"/>
        </w:rPr>
        <w:t>年</w:t>
      </w:r>
      <w:r w:rsidRPr="00363A67">
        <w:rPr>
          <w:rFonts w:ascii="Arial" w:hAnsi="Arial" w:hint="eastAsia"/>
        </w:rPr>
        <w:t>5</w:t>
      </w:r>
      <w:r w:rsidRPr="00363A67">
        <w:rPr>
          <w:rFonts w:ascii="Arial" w:hAnsi="Arial" w:hint="eastAsia"/>
        </w:rPr>
        <w:t>月</w:t>
      </w:r>
      <w:r w:rsidRPr="00363A67">
        <w:rPr>
          <w:rFonts w:ascii="Arial" w:hAnsi="Arial" w:hint="eastAsia"/>
        </w:rPr>
        <w:t>1</w:t>
      </w:r>
      <w:r w:rsidRPr="00363A67">
        <w:rPr>
          <w:rFonts w:ascii="Arial" w:hAnsi="Arial" w:hint="eastAsia"/>
        </w:rPr>
        <w:t>日，广州仲裁委员会正式被</w:t>
      </w:r>
      <w:r w:rsidRPr="00363A67">
        <w:rPr>
          <w:rFonts w:ascii="Arial" w:hAnsi="Arial" w:hint="eastAsia"/>
        </w:rPr>
        <w:t>APEC</w:t>
      </w:r>
      <w:r w:rsidRPr="00363A67">
        <w:rPr>
          <w:rFonts w:ascii="Arial" w:hAnsi="Arial" w:hint="eastAsia"/>
        </w:rPr>
        <w:t>作为全球三家</w:t>
      </w:r>
      <w:r w:rsidRPr="00363A67">
        <w:rPr>
          <w:rFonts w:ascii="Arial" w:hAnsi="Arial" w:hint="eastAsia"/>
        </w:rPr>
        <w:t>ODR</w:t>
      </w:r>
      <w:r w:rsidRPr="00363A67">
        <w:rPr>
          <w:rFonts w:ascii="Arial" w:hAnsi="Arial" w:hint="eastAsia"/>
        </w:rPr>
        <w:t>平台提供商之一，并在</w:t>
      </w:r>
      <w:r w:rsidRPr="00363A67">
        <w:rPr>
          <w:rFonts w:ascii="Arial" w:hAnsi="Arial" w:hint="eastAsia"/>
        </w:rPr>
        <w:t>APEC</w:t>
      </w:r>
      <w:r w:rsidRPr="00363A67">
        <w:rPr>
          <w:rFonts w:ascii="Arial" w:hAnsi="Arial" w:hint="eastAsia"/>
        </w:rPr>
        <w:t>官网上予以推介，</w:t>
      </w:r>
      <w:r w:rsidRPr="00363A67">
        <w:rPr>
          <w:rFonts w:ascii="Arial" w:hAnsi="Arial" w:hint="eastAsia"/>
        </w:rPr>
        <w:t>APEC-ODR</w:t>
      </w:r>
      <w:r w:rsidRPr="00363A67">
        <w:rPr>
          <w:rFonts w:ascii="Arial" w:hAnsi="Arial" w:hint="eastAsia"/>
        </w:rPr>
        <w:t>平台将为亚太区域乃至全球在线纠纷多元化解机制建设提供智慧方案。截至</w:t>
      </w:r>
      <w:r w:rsidRPr="00363A67">
        <w:rPr>
          <w:rFonts w:ascii="Arial" w:hAnsi="Arial" w:hint="eastAsia"/>
        </w:rPr>
        <w:t>2022</w:t>
      </w:r>
      <w:r w:rsidRPr="00363A67">
        <w:rPr>
          <w:rFonts w:ascii="Arial" w:hAnsi="Arial" w:hint="eastAsia"/>
        </w:rPr>
        <w:t>年</w:t>
      </w:r>
      <w:r w:rsidRPr="00363A67">
        <w:rPr>
          <w:rFonts w:ascii="Arial" w:hAnsi="Arial" w:hint="eastAsia"/>
        </w:rPr>
        <w:t>10</w:t>
      </w:r>
      <w:r w:rsidRPr="00363A67">
        <w:rPr>
          <w:rFonts w:ascii="Arial" w:hAnsi="Arial" w:hint="eastAsia"/>
        </w:rPr>
        <w:t>月，广州仲裁委员会已通过该平台处理案件</w:t>
      </w:r>
      <w:r w:rsidRPr="00363A67">
        <w:rPr>
          <w:rFonts w:ascii="Arial" w:hAnsi="Arial" w:hint="eastAsia"/>
        </w:rPr>
        <w:t>251</w:t>
      </w:r>
      <w:r w:rsidRPr="00363A67">
        <w:rPr>
          <w:rFonts w:ascii="Arial" w:hAnsi="Arial" w:hint="eastAsia"/>
        </w:rPr>
        <w:t>宗，总标的额超过</w:t>
      </w:r>
      <w:r w:rsidRPr="00363A67">
        <w:rPr>
          <w:rFonts w:ascii="Arial" w:hAnsi="Arial" w:hint="eastAsia"/>
        </w:rPr>
        <w:t>49</w:t>
      </w:r>
      <w:r w:rsidRPr="00363A67">
        <w:rPr>
          <w:rFonts w:ascii="Arial" w:hAnsi="Arial" w:hint="eastAsia"/>
        </w:rPr>
        <w:t>亿元，调解结案</w:t>
      </w:r>
      <w:r w:rsidRPr="00363A67">
        <w:rPr>
          <w:rFonts w:ascii="Arial" w:hAnsi="Arial" w:hint="eastAsia"/>
        </w:rPr>
        <w:t>134</w:t>
      </w:r>
      <w:r w:rsidRPr="00363A67">
        <w:rPr>
          <w:rFonts w:ascii="Arial" w:hAnsi="Arial" w:hint="eastAsia"/>
        </w:rPr>
        <w:t>宗，平均结案周期</w:t>
      </w:r>
      <w:r w:rsidRPr="00363A67">
        <w:rPr>
          <w:rFonts w:ascii="Arial" w:hAnsi="Arial" w:hint="eastAsia"/>
        </w:rPr>
        <w:t>38</w:t>
      </w:r>
      <w:r w:rsidRPr="00363A67">
        <w:rPr>
          <w:rFonts w:ascii="Arial" w:hAnsi="Arial" w:hint="eastAsia"/>
        </w:rPr>
        <w:t>天。</w:t>
      </w:r>
    </w:p>
    <w:p w14:paraId="10F9EA4C" w14:textId="77777777" w:rsidR="00313608" w:rsidRPr="00363A67" w:rsidRDefault="00313608" w:rsidP="005D4709">
      <w:pPr>
        <w:jc w:val="both"/>
        <w:rPr>
          <w:rFonts w:ascii="Arial" w:hAnsi="Arial"/>
        </w:rPr>
      </w:pPr>
      <w:r w:rsidRPr="00363A67">
        <w:rPr>
          <w:rFonts w:ascii="Arial" w:hAnsi="Arial" w:hint="eastAsia"/>
        </w:rPr>
        <w:t xml:space="preserve">　　案例编号：</w:t>
      </w:r>
      <w:r w:rsidRPr="00363A67">
        <w:rPr>
          <w:rFonts w:ascii="Arial" w:hAnsi="Arial" w:hint="eastAsia"/>
        </w:rPr>
        <w:t>GDCWZC1638754660</w:t>
      </w:r>
    </w:p>
    <w:p w14:paraId="712363CD" w14:textId="77777777" w:rsidR="00313608" w:rsidRPr="00363A67" w:rsidRDefault="00313608" w:rsidP="005D4709">
      <w:pPr>
        <w:jc w:val="both"/>
        <w:rPr>
          <w:rFonts w:ascii="Arial" w:hAnsi="Arial"/>
          <w:b/>
          <w:bCs/>
        </w:rPr>
      </w:pPr>
    </w:p>
    <w:p w14:paraId="6B758A11" w14:textId="77777777" w:rsidR="005D4709" w:rsidRDefault="00313608" w:rsidP="005D4709">
      <w:pPr>
        <w:jc w:val="center"/>
        <w:rPr>
          <w:rFonts w:ascii="Arial" w:hAnsi="Arial"/>
          <w:b/>
          <w:bCs/>
        </w:rPr>
      </w:pPr>
      <w:r w:rsidRPr="00363A67">
        <w:rPr>
          <w:rFonts w:ascii="Arial" w:hAnsi="Arial" w:hint="eastAsia"/>
          <w:b/>
          <w:bCs/>
        </w:rPr>
        <w:t>案例三</w:t>
      </w:r>
    </w:p>
    <w:p w14:paraId="5A5B74EB" w14:textId="77777777" w:rsidR="005D4709" w:rsidRDefault="005D4709" w:rsidP="005D4709">
      <w:pPr>
        <w:jc w:val="both"/>
        <w:rPr>
          <w:rFonts w:ascii="Arial" w:hAnsi="Arial"/>
          <w:b/>
          <w:bCs/>
        </w:rPr>
      </w:pPr>
    </w:p>
    <w:p w14:paraId="74AAB657" w14:textId="173EAC0F" w:rsidR="00313608" w:rsidRPr="005D4709" w:rsidRDefault="00313608" w:rsidP="005D4709">
      <w:pPr>
        <w:jc w:val="center"/>
        <w:rPr>
          <w:rFonts w:ascii="Arial" w:hAnsi="Arial"/>
          <w:b/>
          <w:bCs/>
          <w:sz w:val="24"/>
          <w:szCs w:val="32"/>
        </w:rPr>
      </w:pPr>
      <w:r w:rsidRPr="005D4709">
        <w:rPr>
          <w:rFonts w:ascii="Arial" w:hAnsi="Arial" w:hint="eastAsia"/>
          <w:b/>
          <w:bCs/>
          <w:sz w:val="24"/>
          <w:szCs w:val="32"/>
        </w:rPr>
        <w:t>武汉仲裁委员会关于申请人某文化公司与被申请人</w:t>
      </w:r>
      <w:proofErr w:type="gramStart"/>
      <w:r w:rsidRPr="005D4709">
        <w:rPr>
          <w:rFonts w:ascii="Arial" w:hAnsi="Arial" w:hint="eastAsia"/>
          <w:b/>
          <w:bCs/>
          <w:sz w:val="24"/>
          <w:szCs w:val="32"/>
        </w:rPr>
        <w:t>某动漫公司</w:t>
      </w:r>
      <w:proofErr w:type="gramEnd"/>
      <w:r w:rsidRPr="005D4709">
        <w:rPr>
          <w:rFonts w:ascii="Arial" w:hAnsi="Arial" w:hint="eastAsia"/>
          <w:b/>
          <w:bCs/>
          <w:sz w:val="24"/>
          <w:szCs w:val="32"/>
        </w:rPr>
        <w:t>就著作权合同纠纷仲裁案</w:t>
      </w:r>
    </w:p>
    <w:p w14:paraId="4D38EDC2" w14:textId="77777777" w:rsidR="00E6305C" w:rsidRPr="00E6305C" w:rsidRDefault="00E6305C" w:rsidP="005D4709">
      <w:pPr>
        <w:jc w:val="both"/>
        <w:rPr>
          <w:rFonts w:ascii="Arial" w:hAnsi="Arial"/>
        </w:rPr>
      </w:pPr>
    </w:p>
    <w:p w14:paraId="54221334" w14:textId="77777777" w:rsidR="00313608" w:rsidRPr="00363A67" w:rsidRDefault="00313608" w:rsidP="005D4709">
      <w:pPr>
        <w:jc w:val="both"/>
        <w:rPr>
          <w:rFonts w:ascii="Arial" w:hAnsi="Arial"/>
        </w:rPr>
      </w:pPr>
      <w:r w:rsidRPr="00363A67">
        <w:rPr>
          <w:rFonts w:ascii="Arial" w:hAnsi="Arial" w:hint="eastAsia"/>
          <w:b/>
          <w:bCs/>
        </w:rPr>
        <w:t xml:space="preserve">　　案例简介：</w:t>
      </w:r>
    </w:p>
    <w:p w14:paraId="3A478570" w14:textId="77777777" w:rsidR="00313608" w:rsidRPr="00363A67" w:rsidRDefault="00313608" w:rsidP="005D4709">
      <w:pPr>
        <w:jc w:val="both"/>
        <w:rPr>
          <w:rFonts w:ascii="Arial" w:hAnsi="Arial"/>
        </w:rPr>
      </w:pPr>
      <w:r w:rsidRPr="00363A67">
        <w:rPr>
          <w:rFonts w:ascii="Arial" w:hAnsi="Arial" w:hint="eastAsia"/>
        </w:rPr>
        <w:t xml:space="preserve">　　申请人某文化公司与被申请人</w:t>
      </w:r>
      <w:proofErr w:type="gramStart"/>
      <w:r w:rsidRPr="00363A67">
        <w:rPr>
          <w:rFonts w:ascii="Arial" w:hAnsi="Arial" w:hint="eastAsia"/>
        </w:rPr>
        <w:t>某动漫公司</w:t>
      </w:r>
      <w:proofErr w:type="gramEnd"/>
      <w:r w:rsidRPr="00363A67">
        <w:rPr>
          <w:rFonts w:ascii="Arial" w:hAnsi="Arial" w:hint="eastAsia"/>
        </w:rPr>
        <w:t>于</w:t>
      </w:r>
      <w:r w:rsidRPr="00363A67">
        <w:rPr>
          <w:rFonts w:ascii="Arial" w:hAnsi="Arial" w:hint="eastAsia"/>
        </w:rPr>
        <w:t>2016</w:t>
      </w:r>
      <w:r w:rsidRPr="00363A67">
        <w:rPr>
          <w:rFonts w:ascii="Arial" w:hAnsi="Arial" w:hint="eastAsia"/>
        </w:rPr>
        <w:t>年达成《专有许可权许可协议》，约定被申请人将</w:t>
      </w:r>
      <w:proofErr w:type="gramStart"/>
      <w:r w:rsidRPr="00363A67">
        <w:rPr>
          <w:rFonts w:ascii="Arial" w:hAnsi="Arial" w:hint="eastAsia"/>
        </w:rPr>
        <w:t>动漫作品</w:t>
      </w:r>
      <w:proofErr w:type="gramEnd"/>
      <w:r w:rsidRPr="00363A67">
        <w:rPr>
          <w:rFonts w:ascii="Arial" w:hAnsi="Arial" w:hint="eastAsia"/>
        </w:rPr>
        <w:t>的信息网络传播权专有许可给申请人通过互联网媒体进行使用。后双方因协</w:t>
      </w:r>
      <w:r w:rsidRPr="00363A67">
        <w:rPr>
          <w:rFonts w:ascii="Arial" w:hAnsi="Arial" w:hint="eastAsia"/>
        </w:rPr>
        <w:lastRenderedPageBreak/>
        <w:t>议履行发生争议，</w:t>
      </w:r>
      <w:r w:rsidRPr="00363A67">
        <w:rPr>
          <w:rFonts w:ascii="Arial" w:hAnsi="Arial" w:hint="eastAsia"/>
        </w:rPr>
        <w:t>2019</w:t>
      </w:r>
      <w:r w:rsidRPr="00363A67">
        <w:rPr>
          <w:rFonts w:ascii="Arial" w:hAnsi="Arial" w:hint="eastAsia"/>
        </w:rPr>
        <w:t>年</w:t>
      </w:r>
      <w:r w:rsidRPr="00363A67">
        <w:rPr>
          <w:rFonts w:ascii="Arial" w:hAnsi="Arial" w:hint="eastAsia"/>
        </w:rPr>
        <w:t>5</w:t>
      </w:r>
      <w:r w:rsidRPr="00363A67">
        <w:rPr>
          <w:rFonts w:ascii="Arial" w:hAnsi="Arial" w:hint="eastAsia"/>
        </w:rPr>
        <w:t>月，申请人向武汉仲裁委员会申请仲裁，请求裁决被申请人继续履行许可协议，交付相关许可作品，并赔偿其因被申请人的违约行为而遭受的巨额经济损失及其他相关费用，请求金额共计近亿元。被申请人则答辩称其已按照合同要求履行作品交付等义务。</w:t>
      </w:r>
    </w:p>
    <w:p w14:paraId="64D6E178" w14:textId="77777777" w:rsidR="00313608" w:rsidRPr="00363A67" w:rsidRDefault="00313608" w:rsidP="005D4709">
      <w:pPr>
        <w:jc w:val="both"/>
        <w:rPr>
          <w:rFonts w:ascii="Arial" w:hAnsi="Arial"/>
        </w:rPr>
      </w:pPr>
      <w:r w:rsidRPr="00363A67">
        <w:rPr>
          <w:rFonts w:ascii="Arial" w:hAnsi="Arial" w:hint="eastAsia"/>
        </w:rPr>
        <w:t xml:space="preserve">　　仲裁</w:t>
      </w:r>
      <w:proofErr w:type="gramStart"/>
      <w:r w:rsidRPr="00363A67">
        <w:rPr>
          <w:rFonts w:ascii="Arial" w:hAnsi="Arial" w:hint="eastAsia"/>
        </w:rPr>
        <w:t>庭综合</w:t>
      </w:r>
      <w:proofErr w:type="gramEnd"/>
      <w:r w:rsidRPr="00363A67">
        <w:rPr>
          <w:rFonts w:ascii="Arial" w:hAnsi="Arial" w:hint="eastAsia"/>
        </w:rPr>
        <w:t>考虑本案背景情况及双方当事人合作基础等因素，凭借专业能力及调解技巧对涉案纠纷进行调解。经调解，涉案许可协议解除，对于部分作品的单独授权问题，双方另行予以解决。</w:t>
      </w:r>
    </w:p>
    <w:p w14:paraId="229492E2" w14:textId="77777777" w:rsidR="00313608" w:rsidRPr="00363A67" w:rsidRDefault="00313608" w:rsidP="005D4709">
      <w:pPr>
        <w:jc w:val="both"/>
        <w:rPr>
          <w:rFonts w:ascii="Arial" w:hAnsi="Arial"/>
        </w:rPr>
      </w:pPr>
      <w:r w:rsidRPr="00363A67">
        <w:rPr>
          <w:rFonts w:ascii="Arial" w:hAnsi="Arial" w:hint="eastAsia"/>
        </w:rPr>
        <w:t xml:space="preserve">　　本案是互联网时代背景下的知识产权新型纠纷，所涉及的法律问题如许可范围、许可类型等都是著作权许可合作纠纷领域多发问题，具有典型的代表意义。</w:t>
      </w:r>
      <w:r w:rsidRPr="00363A67">
        <w:rPr>
          <w:rFonts w:ascii="Arial" w:hAnsi="Arial" w:hint="eastAsia"/>
        </w:rPr>
        <w:t>2022</w:t>
      </w:r>
      <w:r w:rsidRPr="00363A67">
        <w:rPr>
          <w:rFonts w:ascii="Arial" w:hAnsi="Arial" w:hint="eastAsia"/>
        </w:rPr>
        <w:t>年以来，武汉仲裁委员会与武汉市市场监督管理局（武汉市知识产权局）签订了《知识产权纠纷仲裁工作衔接机制协作纪要》，设立武汉知识产权保护中心仲裁庭审中心，为完善知识产权快速协同保护机制</w:t>
      </w:r>
      <w:proofErr w:type="gramStart"/>
      <w:r w:rsidRPr="00363A67">
        <w:rPr>
          <w:rFonts w:ascii="Arial" w:hAnsi="Arial" w:hint="eastAsia"/>
        </w:rPr>
        <w:t>作出</w:t>
      </w:r>
      <w:proofErr w:type="gramEnd"/>
      <w:r w:rsidRPr="00363A67">
        <w:rPr>
          <w:rFonts w:ascii="Arial" w:hAnsi="Arial" w:hint="eastAsia"/>
        </w:rPr>
        <w:t>了积极有益探索。</w:t>
      </w:r>
    </w:p>
    <w:p w14:paraId="209B7163" w14:textId="23FC8B2A" w:rsidR="00F45EEB" w:rsidRDefault="00313608" w:rsidP="005D4709">
      <w:pPr>
        <w:ind w:firstLine="435"/>
        <w:jc w:val="both"/>
        <w:rPr>
          <w:rFonts w:ascii="Arial" w:hAnsi="Arial"/>
        </w:rPr>
      </w:pPr>
      <w:r w:rsidRPr="00363A67">
        <w:rPr>
          <w:rFonts w:ascii="Arial" w:hAnsi="Arial" w:hint="eastAsia"/>
        </w:rPr>
        <w:t>案例编号：</w:t>
      </w:r>
      <w:r w:rsidRPr="00363A67">
        <w:rPr>
          <w:rFonts w:ascii="Arial" w:hAnsi="Arial" w:hint="eastAsia"/>
        </w:rPr>
        <w:t>HBGNZC1655341267</w:t>
      </w:r>
    </w:p>
    <w:p w14:paraId="2A7386CE" w14:textId="2D0745B5" w:rsidR="00E6305C" w:rsidRDefault="00E6305C" w:rsidP="005D4709">
      <w:pPr>
        <w:jc w:val="both"/>
        <w:rPr>
          <w:rFonts w:ascii="Arial" w:hAnsi="Arial"/>
        </w:rPr>
      </w:pPr>
    </w:p>
    <w:p w14:paraId="0B0A056D" w14:textId="77777777" w:rsidR="00E6305C" w:rsidRPr="00363A67" w:rsidRDefault="00E6305C" w:rsidP="005D4709">
      <w:pPr>
        <w:jc w:val="both"/>
        <w:rPr>
          <w:rFonts w:ascii="Arial" w:hAnsi="Arial"/>
        </w:rPr>
      </w:pPr>
    </w:p>
    <w:p w14:paraId="1A0C9571" w14:textId="1369E4ED" w:rsidR="00313608" w:rsidRPr="00363A67" w:rsidRDefault="00313608" w:rsidP="005D4709">
      <w:pPr>
        <w:jc w:val="both"/>
        <w:rPr>
          <w:rFonts w:ascii="Arial" w:hAnsi="Arial"/>
        </w:rPr>
      </w:pPr>
      <w:r w:rsidRPr="00363A67">
        <w:rPr>
          <w:rFonts w:ascii="Arial" w:hAnsi="Arial" w:hint="eastAsia"/>
        </w:rPr>
        <w:t>信息来源：</w:t>
      </w:r>
    </w:p>
    <w:p w14:paraId="60801C0E" w14:textId="50CE18BA" w:rsidR="00313608" w:rsidRPr="00363A67" w:rsidRDefault="00000000" w:rsidP="005D4709">
      <w:pPr>
        <w:jc w:val="both"/>
        <w:rPr>
          <w:rFonts w:ascii="Arial" w:hAnsi="Arial"/>
        </w:rPr>
      </w:pPr>
      <w:hyperlink r:id="rId6" w:history="1">
        <w:r w:rsidR="00313608" w:rsidRPr="00363A67">
          <w:rPr>
            <w:rStyle w:val="a3"/>
            <w:rFonts w:ascii="Arial" w:hAnsi="Arial"/>
          </w:rPr>
          <w:t>http://www.moj.gov.cn/pub/sfbgw/gwxw/xwyw/20230</w:t>
        </w:r>
        <w:r w:rsidR="00313608" w:rsidRPr="00363A67">
          <w:rPr>
            <w:rStyle w:val="a3"/>
            <w:rFonts w:ascii="Arial" w:hAnsi="Arial"/>
          </w:rPr>
          <w:t>1</w:t>
        </w:r>
        <w:r w:rsidR="00313608" w:rsidRPr="00363A67">
          <w:rPr>
            <w:rStyle w:val="a3"/>
            <w:rFonts w:ascii="Arial" w:hAnsi="Arial"/>
          </w:rPr>
          <w:t>/t20230111_470637.html</w:t>
        </w:r>
      </w:hyperlink>
    </w:p>
    <w:p w14:paraId="5838288A" w14:textId="77777777" w:rsidR="00313608" w:rsidRPr="00363A67" w:rsidRDefault="00313608" w:rsidP="005D4709">
      <w:pPr>
        <w:jc w:val="both"/>
        <w:rPr>
          <w:rFonts w:ascii="Arial" w:hAnsi="Arial"/>
        </w:rPr>
      </w:pPr>
    </w:p>
    <w:sectPr w:rsidR="00313608" w:rsidRPr="00363A67" w:rsidSect="005D4709">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F6B2" w14:textId="77777777" w:rsidR="00BF64FB" w:rsidRDefault="00BF64FB" w:rsidP="00363A67">
      <w:pPr>
        <w:spacing w:line="240" w:lineRule="auto"/>
      </w:pPr>
      <w:r>
        <w:separator/>
      </w:r>
    </w:p>
  </w:endnote>
  <w:endnote w:type="continuationSeparator" w:id="0">
    <w:p w14:paraId="304A02D0" w14:textId="77777777" w:rsidR="00BF64FB" w:rsidRDefault="00BF64FB" w:rsidP="00363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1C2E" w14:textId="77777777" w:rsidR="00BF64FB" w:rsidRDefault="00BF64FB" w:rsidP="00363A67">
      <w:pPr>
        <w:spacing w:line="240" w:lineRule="auto"/>
      </w:pPr>
      <w:r>
        <w:separator/>
      </w:r>
    </w:p>
  </w:footnote>
  <w:footnote w:type="continuationSeparator" w:id="0">
    <w:p w14:paraId="124ECA5E" w14:textId="77777777" w:rsidR="00BF64FB" w:rsidRDefault="00BF64FB" w:rsidP="00363A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3608"/>
    <w:rsid w:val="00313608"/>
    <w:rsid w:val="00363A67"/>
    <w:rsid w:val="005D4709"/>
    <w:rsid w:val="00B41EDF"/>
    <w:rsid w:val="00BF64FB"/>
    <w:rsid w:val="00E6305C"/>
    <w:rsid w:val="00F45EEB"/>
    <w:rsid w:val="00F8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08A6B"/>
  <w15:chartTrackingRefBased/>
  <w15:docId w15:val="{65E61FEE-219F-4C44-A267-EBF61BE6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608"/>
    <w:rPr>
      <w:color w:val="0563C1" w:themeColor="hyperlink"/>
      <w:u w:val="single"/>
    </w:rPr>
  </w:style>
  <w:style w:type="character" w:styleId="a4">
    <w:name w:val="Unresolved Mention"/>
    <w:basedOn w:val="a0"/>
    <w:uiPriority w:val="99"/>
    <w:semiHidden/>
    <w:unhideWhenUsed/>
    <w:rsid w:val="00313608"/>
    <w:rPr>
      <w:color w:val="605E5C"/>
      <w:shd w:val="clear" w:color="auto" w:fill="E1DFDD"/>
    </w:rPr>
  </w:style>
  <w:style w:type="paragraph" w:styleId="a5">
    <w:name w:val="header"/>
    <w:basedOn w:val="a"/>
    <w:link w:val="a6"/>
    <w:uiPriority w:val="99"/>
    <w:unhideWhenUsed/>
    <w:rsid w:val="00363A67"/>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63A67"/>
    <w:rPr>
      <w:sz w:val="18"/>
      <w:szCs w:val="18"/>
    </w:rPr>
  </w:style>
  <w:style w:type="paragraph" w:styleId="a7">
    <w:name w:val="footer"/>
    <w:basedOn w:val="a"/>
    <w:link w:val="a8"/>
    <w:uiPriority w:val="99"/>
    <w:unhideWhenUsed/>
    <w:rsid w:val="00363A67"/>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363A67"/>
    <w:rPr>
      <w:sz w:val="18"/>
      <w:szCs w:val="18"/>
    </w:rPr>
  </w:style>
  <w:style w:type="character" w:styleId="a9">
    <w:name w:val="FollowedHyperlink"/>
    <w:basedOn w:val="a0"/>
    <w:uiPriority w:val="99"/>
    <w:semiHidden/>
    <w:unhideWhenUsed/>
    <w:rsid w:val="00E63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72">
      <w:bodyDiv w:val="1"/>
      <w:marLeft w:val="0"/>
      <w:marRight w:val="0"/>
      <w:marTop w:val="0"/>
      <w:marBottom w:val="0"/>
      <w:divBdr>
        <w:top w:val="none" w:sz="0" w:space="0" w:color="auto"/>
        <w:left w:val="none" w:sz="0" w:space="0" w:color="auto"/>
        <w:bottom w:val="none" w:sz="0" w:space="0" w:color="auto"/>
        <w:right w:val="none" w:sz="0" w:space="0" w:color="auto"/>
      </w:divBdr>
      <w:divsChild>
        <w:div w:id="1985422922">
          <w:marLeft w:val="0"/>
          <w:marRight w:val="0"/>
          <w:marTop w:val="420"/>
          <w:marBottom w:val="0"/>
          <w:divBdr>
            <w:top w:val="none" w:sz="0" w:space="0" w:color="auto"/>
            <w:left w:val="none" w:sz="0" w:space="0" w:color="auto"/>
            <w:bottom w:val="none" w:sz="0" w:space="0" w:color="auto"/>
            <w:right w:val="none" w:sz="0" w:space="0" w:color="auto"/>
          </w:divBdr>
          <w:divsChild>
            <w:div w:id="1700278508">
              <w:marLeft w:val="0"/>
              <w:marRight w:val="0"/>
              <w:marTop w:val="0"/>
              <w:marBottom w:val="0"/>
              <w:divBdr>
                <w:top w:val="none" w:sz="0" w:space="0" w:color="auto"/>
                <w:left w:val="none" w:sz="0" w:space="0" w:color="auto"/>
                <w:bottom w:val="none" w:sz="0" w:space="0" w:color="auto"/>
                <w:right w:val="none" w:sz="0" w:space="0" w:color="auto"/>
              </w:divBdr>
            </w:div>
            <w:div w:id="1714234327">
              <w:marLeft w:val="0"/>
              <w:marRight w:val="0"/>
              <w:marTop w:val="0"/>
              <w:marBottom w:val="0"/>
              <w:divBdr>
                <w:top w:val="none" w:sz="0" w:space="0" w:color="auto"/>
                <w:left w:val="none" w:sz="0" w:space="0" w:color="auto"/>
                <w:bottom w:val="none" w:sz="0" w:space="0" w:color="auto"/>
                <w:right w:val="none" w:sz="0" w:space="0" w:color="auto"/>
              </w:divBdr>
            </w:div>
          </w:divsChild>
        </w:div>
        <w:div w:id="367990058">
          <w:marLeft w:val="0"/>
          <w:marRight w:val="0"/>
          <w:marTop w:val="600"/>
          <w:marBottom w:val="0"/>
          <w:divBdr>
            <w:top w:val="none" w:sz="0" w:space="0" w:color="auto"/>
            <w:left w:val="none" w:sz="0" w:space="0" w:color="auto"/>
            <w:bottom w:val="none" w:sz="0" w:space="0" w:color="auto"/>
            <w:right w:val="none" w:sz="0" w:space="0" w:color="auto"/>
          </w:divBdr>
          <w:divsChild>
            <w:div w:id="290594422">
              <w:marLeft w:val="0"/>
              <w:marRight w:val="0"/>
              <w:marTop w:val="300"/>
              <w:marBottom w:val="300"/>
              <w:divBdr>
                <w:top w:val="none" w:sz="0" w:space="0" w:color="auto"/>
                <w:left w:val="none" w:sz="0" w:space="0" w:color="auto"/>
                <w:bottom w:val="none" w:sz="0" w:space="0" w:color="auto"/>
                <w:right w:val="none" w:sz="0" w:space="0" w:color="auto"/>
              </w:divBdr>
              <w:divsChild>
                <w:div w:id="576986958">
                  <w:marLeft w:val="0"/>
                  <w:marRight w:val="0"/>
                  <w:marTop w:val="0"/>
                  <w:marBottom w:val="0"/>
                  <w:divBdr>
                    <w:top w:val="none" w:sz="0" w:space="0" w:color="auto"/>
                    <w:left w:val="none" w:sz="0" w:space="0" w:color="auto"/>
                    <w:bottom w:val="none" w:sz="0" w:space="0" w:color="auto"/>
                    <w:right w:val="none" w:sz="0" w:space="0" w:color="auto"/>
                  </w:divBdr>
                  <w:divsChild>
                    <w:div w:id="17337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5121">
      <w:bodyDiv w:val="1"/>
      <w:marLeft w:val="0"/>
      <w:marRight w:val="0"/>
      <w:marTop w:val="0"/>
      <w:marBottom w:val="0"/>
      <w:divBdr>
        <w:top w:val="none" w:sz="0" w:space="0" w:color="auto"/>
        <w:left w:val="none" w:sz="0" w:space="0" w:color="auto"/>
        <w:bottom w:val="none" w:sz="0" w:space="0" w:color="auto"/>
        <w:right w:val="none" w:sz="0" w:space="0" w:color="auto"/>
      </w:divBdr>
      <w:divsChild>
        <w:div w:id="1888643991">
          <w:marLeft w:val="0"/>
          <w:marRight w:val="0"/>
          <w:marTop w:val="420"/>
          <w:marBottom w:val="0"/>
          <w:divBdr>
            <w:top w:val="none" w:sz="0" w:space="0" w:color="auto"/>
            <w:left w:val="none" w:sz="0" w:space="0" w:color="auto"/>
            <w:bottom w:val="none" w:sz="0" w:space="0" w:color="auto"/>
            <w:right w:val="none" w:sz="0" w:space="0" w:color="auto"/>
          </w:divBdr>
          <w:divsChild>
            <w:div w:id="172187980">
              <w:marLeft w:val="0"/>
              <w:marRight w:val="0"/>
              <w:marTop w:val="0"/>
              <w:marBottom w:val="0"/>
              <w:divBdr>
                <w:top w:val="none" w:sz="0" w:space="0" w:color="auto"/>
                <w:left w:val="none" w:sz="0" w:space="0" w:color="auto"/>
                <w:bottom w:val="none" w:sz="0" w:space="0" w:color="auto"/>
                <w:right w:val="none" w:sz="0" w:space="0" w:color="auto"/>
              </w:divBdr>
            </w:div>
            <w:div w:id="1161584339">
              <w:marLeft w:val="0"/>
              <w:marRight w:val="0"/>
              <w:marTop w:val="0"/>
              <w:marBottom w:val="0"/>
              <w:divBdr>
                <w:top w:val="none" w:sz="0" w:space="0" w:color="auto"/>
                <w:left w:val="none" w:sz="0" w:space="0" w:color="auto"/>
                <w:bottom w:val="none" w:sz="0" w:space="0" w:color="auto"/>
                <w:right w:val="none" w:sz="0" w:space="0" w:color="auto"/>
              </w:divBdr>
            </w:div>
          </w:divsChild>
        </w:div>
        <w:div w:id="1705054875">
          <w:marLeft w:val="0"/>
          <w:marRight w:val="0"/>
          <w:marTop w:val="600"/>
          <w:marBottom w:val="0"/>
          <w:divBdr>
            <w:top w:val="none" w:sz="0" w:space="0" w:color="auto"/>
            <w:left w:val="none" w:sz="0" w:space="0" w:color="auto"/>
            <w:bottom w:val="none" w:sz="0" w:space="0" w:color="auto"/>
            <w:right w:val="none" w:sz="0" w:space="0" w:color="auto"/>
          </w:divBdr>
          <w:divsChild>
            <w:div w:id="999425898">
              <w:marLeft w:val="0"/>
              <w:marRight w:val="0"/>
              <w:marTop w:val="300"/>
              <w:marBottom w:val="300"/>
              <w:divBdr>
                <w:top w:val="none" w:sz="0" w:space="0" w:color="auto"/>
                <w:left w:val="none" w:sz="0" w:space="0" w:color="auto"/>
                <w:bottom w:val="none" w:sz="0" w:space="0" w:color="auto"/>
                <w:right w:val="none" w:sz="0" w:space="0" w:color="auto"/>
              </w:divBdr>
              <w:divsChild>
                <w:div w:id="1120687158">
                  <w:marLeft w:val="0"/>
                  <w:marRight w:val="0"/>
                  <w:marTop w:val="0"/>
                  <w:marBottom w:val="0"/>
                  <w:divBdr>
                    <w:top w:val="none" w:sz="0" w:space="0" w:color="auto"/>
                    <w:left w:val="none" w:sz="0" w:space="0" w:color="auto"/>
                    <w:bottom w:val="none" w:sz="0" w:space="0" w:color="auto"/>
                    <w:right w:val="none" w:sz="0" w:space="0" w:color="auto"/>
                  </w:divBdr>
                  <w:divsChild>
                    <w:div w:id="633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pub/sfbgw/gwxw/xwyw/202301/t20230111_4706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2023-01-12T02:13:00Z</dcterms:created>
  <dcterms:modified xsi:type="dcterms:W3CDTF">2023-01-12T14:47:00Z</dcterms:modified>
</cp:coreProperties>
</file>