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51B9" w14:textId="77777777" w:rsidR="00F80150" w:rsidRPr="00F65D4C" w:rsidRDefault="00F80150" w:rsidP="00F356D9">
      <w:pPr>
        <w:jc w:val="center"/>
        <w:rPr>
          <w:rFonts w:ascii="Arial" w:hAnsi="Arial"/>
          <w:b/>
          <w:bCs/>
          <w:color w:val="E36C0A"/>
          <w:sz w:val="32"/>
          <w:szCs w:val="32"/>
        </w:rPr>
      </w:pPr>
      <w:r w:rsidRPr="00F65D4C">
        <w:rPr>
          <w:rFonts w:ascii="Arial" w:hAnsi="Arial" w:hint="eastAsia"/>
          <w:b/>
          <w:bCs/>
          <w:color w:val="E36C0A"/>
          <w:sz w:val="32"/>
          <w:szCs w:val="32"/>
        </w:rPr>
        <w:t>关于优化若干税收征管服务事项的通知</w:t>
      </w:r>
    </w:p>
    <w:p w14:paraId="15D9F23B" w14:textId="712052C5" w:rsidR="00F80150" w:rsidRPr="00F65D4C" w:rsidRDefault="00F80150" w:rsidP="00F356D9">
      <w:pPr>
        <w:jc w:val="center"/>
        <w:rPr>
          <w:rFonts w:ascii="Arial" w:hAnsi="Arial"/>
        </w:rPr>
      </w:pPr>
      <w:r w:rsidRPr="00F65D4C">
        <w:rPr>
          <w:rFonts w:ascii="Arial" w:hAnsi="Arial" w:hint="eastAsia"/>
        </w:rPr>
        <w:t>税总征科发〔</w:t>
      </w:r>
      <w:r w:rsidRPr="00F65D4C">
        <w:rPr>
          <w:rFonts w:ascii="Arial" w:hAnsi="Arial" w:hint="eastAsia"/>
        </w:rPr>
        <w:t>2022</w:t>
      </w:r>
      <w:r w:rsidRPr="00F65D4C">
        <w:rPr>
          <w:rFonts w:ascii="Arial" w:hAnsi="Arial" w:hint="eastAsia"/>
        </w:rPr>
        <w:t>〕</w:t>
      </w:r>
      <w:r w:rsidRPr="00F65D4C">
        <w:rPr>
          <w:rFonts w:ascii="Arial" w:hAnsi="Arial" w:hint="eastAsia"/>
        </w:rPr>
        <w:t>87</w:t>
      </w:r>
      <w:r w:rsidRPr="00F65D4C">
        <w:rPr>
          <w:rFonts w:ascii="Arial" w:hAnsi="Arial" w:hint="eastAsia"/>
        </w:rPr>
        <w:t>号</w:t>
      </w:r>
    </w:p>
    <w:p w14:paraId="02361DC2" w14:textId="77777777" w:rsidR="00F80150" w:rsidRPr="00F65D4C" w:rsidRDefault="00F80150" w:rsidP="00F356D9">
      <w:pPr>
        <w:rPr>
          <w:rFonts w:ascii="Arial" w:hAnsi="Arial"/>
        </w:rPr>
      </w:pPr>
    </w:p>
    <w:p w14:paraId="6B9133A2" w14:textId="003E2E20" w:rsidR="00F80150" w:rsidRPr="00F65D4C" w:rsidRDefault="00F80150" w:rsidP="00F356D9">
      <w:pPr>
        <w:jc w:val="both"/>
        <w:rPr>
          <w:rFonts w:ascii="Arial" w:hAnsi="Arial"/>
        </w:rPr>
      </w:pPr>
      <w:r w:rsidRPr="00F65D4C">
        <w:rPr>
          <w:rFonts w:ascii="Arial" w:hAnsi="Arial" w:hint="eastAsia"/>
        </w:rPr>
        <w:t>国家税务总局各省、自治区、直辖市和计划单列市税务局，国家税务总局驻各地特派员办事处，局内各单位</w:t>
      </w:r>
      <w:r w:rsidRPr="00F65D4C">
        <w:rPr>
          <w:rFonts w:ascii="Arial" w:hAnsi="Arial" w:hint="eastAsia"/>
        </w:rPr>
        <w:t>:</w:t>
      </w:r>
    </w:p>
    <w:p w14:paraId="3C76B7BA" w14:textId="543F9F3F" w:rsidR="00F80150" w:rsidRPr="00F65D4C" w:rsidRDefault="00F80150" w:rsidP="00F356D9">
      <w:pPr>
        <w:ind w:firstLineChars="200" w:firstLine="440"/>
        <w:jc w:val="both"/>
        <w:rPr>
          <w:rFonts w:ascii="Arial" w:hAnsi="Arial"/>
        </w:rPr>
      </w:pPr>
      <w:r w:rsidRPr="00F65D4C">
        <w:rPr>
          <w:rFonts w:ascii="Arial" w:hAnsi="Arial" w:hint="eastAsia"/>
        </w:rPr>
        <w:t>为贯彻落实中办、国办印发的《关于进一步深化税收征管改革的意见》，结合落实中央巡视整改，进一步深化税务系统“放管服”改革，规范基础税收征管工作，优化变更登记、跨省迁移等环节税费服务，现就有关事项通知如下：</w:t>
      </w:r>
    </w:p>
    <w:p w14:paraId="3173275F" w14:textId="77777777" w:rsidR="00F80150" w:rsidRPr="00F65D4C" w:rsidRDefault="00F80150" w:rsidP="00F356D9">
      <w:pPr>
        <w:ind w:firstLineChars="200" w:firstLine="442"/>
        <w:jc w:val="both"/>
        <w:rPr>
          <w:rFonts w:ascii="Arial" w:hAnsi="Arial"/>
        </w:rPr>
      </w:pPr>
      <w:r w:rsidRPr="00F65D4C">
        <w:rPr>
          <w:rFonts w:ascii="Arial" w:hAnsi="Arial" w:hint="eastAsia"/>
          <w:b/>
          <w:bCs/>
        </w:rPr>
        <w:t>一、简化变更登记操作流程</w:t>
      </w:r>
    </w:p>
    <w:p w14:paraId="29BA4852" w14:textId="77777777" w:rsidR="00F80150" w:rsidRPr="00F65D4C" w:rsidRDefault="00F80150" w:rsidP="00F356D9">
      <w:pPr>
        <w:ind w:firstLineChars="200" w:firstLine="440"/>
        <w:jc w:val="both"/>
        <w:rPr>
          <w:rFonts w:ascii="Arial" w:hAnsi="Arial"/>
        </w:rPr>
      </w:pPr>
      <w:r w:rsidRPr="00F65D4C">
        <w:rPr>
          <w:rFonts w:ascii="Arial" w:hAnsi="Arial" w:hint="eastAsia"/>
        </w:rPr>
        <w:t>（一）自动变更登记信息。自</w:t>
      </w:r>
      <w:r w:rsidRPr="00F65D4C">
        <w:rPr>
          <w:rFonts w:ascii="Arial" w:hAnsi="Arial" w:hint="eastAsia"/>
        </w:rPr>
        <w:t>2023</w:t>
      </w:r>
      <w:r w:rsidRPr="00F65D4C">
        <w:rPr>
          <w:rFonts w:ascii="Arial" w:hAnsi="Arial" w:hint="eastAsia"/>
        </w:rPr>
        <w:t>年</w:t>
      </w:r>
      <w:r w:rsidRPr="00F65D4C">
        <w:rPr>
          <w:rFonts w:ascii="Arial" w:hAnsi="Arial" w:hint="eastAsia"/>
        </w:rPr>
        <w:t>4</w:t>
      </w:r>
      <w:r w:rsidRPr="00F65D4C">
        <w:rPr>
          <w:rFonts w:ascii="Arial" w:hAnsi="Arial" w:hint="eastAsia"/>
        </w:rPr>
        <w:t>月</w:t>
      </w:r>
      <w:r w:rsidRPr="00F65D4C">
        <w:rPr>
          <w:rFonts w:ascii="Arial" w:hAnsi="Arial" w:hint="eastAsia"/>
        </w:rPr>
        <w:t>1</w:t>
      </w:r>
      <w:r w:rsidRPr="00F65D4C">
        <w:rPr>
          <w:rFonts w:ascii="Arial" w:hAnsi="Arial" w:hint="eastAsia"/>
        </w:rPr>
        <w:t>日起，纳税人在市场监管部门依法办理变更登记后，无需向税务机关报告登记变更信息；各省、自治区、直辖市和计划单列市税务机关（以下简称各省税务机关）根据市场监管部门共享的变更登记信息，在金税三期核心征管系统（以下简称核心征管系统）自动同步变更登记信息（附件</w:t>
      </w:r>
      <w:r w:rsidRPr="00F65D4C">
        <w:rPr>
          <w:rFonts w:ascii="Arial" w:hAnsi="Arial" w:hint="eastAsia"/>
        </w:rPr>
        <w:t>1</w:t>
      </w:r>
      <w:r w:rsidRPr="00F65D4C">
        <w:rPr>
          <w:rFonts w:ascii="Arial" w:hAnsi="Arial" w:hint="eastAsia"/>
        </w:rPr>
        <w:t>）。处于非正常、非正常户注销等状态的纳税人变更登记信息的，核心征管系统在其恢复正常状态时自动变更。</w:t>
      </w:r>
    </w:p>
    <w:p w14:paraId="6A753F56" w14:textId="77777777" w:rsidR="00F80150" w:rsidRPr="00F65D4C" w:rsidRDefault="00F80150" w:rsidP="00F356D9">
      <w:pPr>
        <w:ind w:firstLineChars="200" w:firstLine="440"/>
        <w:jc w:val="both"/>
        <w:rPr>
          <w:rFonts w:ascii="Arial" w:hAnsi="Arial"/>
        </w:rPr>
      </w:pPr>
      <w:r w:rsidRPr="00F65D4C">
        <w:rPr>
          <w:rFonts w:ascii="Arial" w:hAnsi="Arial" w:hint="eastAsia"/>
        </w:rPr>
        <w:t>（二）自动提示推送服务。对纳税人办理变更登记所涉及的提示提醒事项，税务机关通过电子税务局精准推送提醒纳税人；涉及的后续管理事项，核心征管系统自动向税务人员推送待办消息提醒。</w:t>
      </w:r>
    </w:p>
    <w:p w14:paraId="2F0BC65F" w14:textId="77777777" w:rsidR="00F80150" w:rsidRPr="00F65D4C" w:rsidRDefault="00F80150" w:rsidP="00F356D9">
      <w:pPr>
        <w:ind w:firstLineChars="200" w:firstLine="440"/>
        <w:jc w:val="both"/>
        <w:rPr>
          <w:rFonts w:ascii="Arial" w:hAnsi="Arial"/>
        </w:rPr>
      </w:pPr>
      <w:r w:rsidRPr="00F65D4C">
        <w:rPr>
          <w:rFonts w:ascii="Arial" w:hAnsi="Arial" w:hint="eastAsia"/>
        </w:rPr>
        <w:t>（三）做好存量登记信息变更工作。</w:t>
      </w:r>
      <w:r w:rsidRPr="00F65D4C">
        <w:rPr>
          <w:rFonts w:ascii="Arial" w:hAnsi="Arial" w:hint="eastAsia"/>
        </w:rPr>
        <w:t>2023</w:t>
      </w:r>
      <w:r w:rsidRPr="00F65D4C">
        <w:rPr>
          <w:rFonts w:ascii="Arial" w:hAnsi="Arial" w:hint="eastAsia"/>
        </w:rPr>
        <w:t>年</w:t>
      </w:r>
      <w:r w:rsidRPr="00F65D4C">
        <w:rPr>
          <w:rFonts w:ascii="Arial" w:hAnsi="Arial" w:hint="eastAsia"/>
        </w:rPr>
        <w:t>4</w:t>
      </w:r>
      <w:r w:rsidRPr="00F65D4C">
        <w:rPr>
          <w:rFonts w:ascii="Arial" w:hAnsi="Arial" w:hint="eastAsia"/>
        </w:rPr>
        <w:t>月</w:t>
      </w:r>
      <w:r w:rsidRPr="00F65D4C">
        <w:rPr>
          <w:rFonts w:ascii="Arial" w:hAnsi="Arial" w:hint="eastAsia"/>
        </w:rPr>
        <w:t>1</w:t>
      </w:r>
      <w:r w:rsidRPr="00F65D4C">
        <w:rPr>
          <w:rFonts w:ascii="Arial" w:hAnsi="Arial" w:hint="eastAsia"/>
        </w:rPr>
        <w:t>日之前已在市场监管部门办理变更登记、尚未在税务部门变更登记信息的纳税人，由各省税务机关根据市场监管部门共享信息分类分批完成登记信息变更工作。</w:t>
      </w:r>
    </w:p>
    <w:p w14:paraId="71C5F536" w14:textId="77777777" w:rsidR="00F80150" w:rsidRPr="00F65D4C" w:rsidRDefault="00F80150" w:rsidP="00F356D9">
      <w:pPr>
        <w:ind w:firstLineChars="200" w:firstLine="442"/>
        <w:jc w:val="both"/>
        <w:rPr>
          <w:rFonts w:ascii="Arial" w:hAnsi="Arial"/>
        </w:rPr>
      </w:pPr>
      <w:r w:rsidRPr="00F65D4C">
        <w:rPr>
          <w:rFonts w:ascii="Arial" w:hAnsi="Arial" w:hint="eastAsia"/>
          <w:b/>
          <w:bCs/>
        </w:rPr>
        <w:t>二、优化跨省迁移税费服务流程</w:t>
      </w:r>
    </w:p>
    <w:p w14:paraId="525D1C7D" w14:textId="77777777" w:rsidR="00F80150" w:rsidRPr="00F65D4C" w:rsidRDefault="00F80150" w:rsidP="00F356D9">
      <w:pPr>
        <w:ind w:firstLineChars="200" w:firstLine="440"/>
        <w:jc w:val="both"/>
        <w:rPr>
          <w:rFonts w:ascii="Arial" w:hAnsi="Arial"/>
        </w:rPr>
      </w:pPr>
      <w:r w:rsidRPr="00F65D4C">
        <w:rPr>
          <w:rFonts w:ascii="Arial" w:hAnsi="Arial" w:hint="eastAsia"/>
        </w:rPr>
        <w:t>（一）优化迁出流程。纳税人跨省迁移的，在市场监管部门办结住所变更登记后，向迁出地主管税务机关填报《跨省（市）迁移涉税事项报告表》（附件</w:t>
      </w:r>
      <w:r w:rsidRPr="00F65D4C">
        <w:rPr>
          <w:rFonts w:ascii="Arial" w:hAnsi="Arial" w:hint="eastAsia"/>
        </w:rPr>
        <w:t>2</w:t>
      </w:r>
      <w:r w:rsidRPr="00F65D4C">
        <w:rPr>
          <w:rFonts w:ascii="Arial" w:hAnsi="Arial" w:hint="eastAsia"/>
        </w:rPr>
        <w:t>）。对未处于税务检查状态，已缴销发票和税控设备，已结清税（费）款、滞纳金及罚款，以及不存在其他未办结涉税事项的纳税人，税务机关出具《跨省（市）迁移税收征管信息确认表》（附件</w:t>
      </w:r>
      <w:r w:rsidRPr="00F65D4C">
        <w:rPr>
          <w:rFonts w:ascii="Arial" w:hAnsi="Arial" w:hint="eastAsia"/>
        </w:rPr>
        <w:t>3</w:t>
      </w:r>
      <w:r w:rsidRPr="00F65D4C">
        <w:rPr>
          <w:rFonts w:ascii="Arial" w:hAnsi="Arial" w:hint="eastAsia"/>
        </w:rPr>
        <w:t>），告知纳税人在迁入地承继、延续享受的相关资质权益等信息，以及在规定时限内履行纳税申报义务。经纳税人确认后，税务机关即时办结迁出手续，有关信息推送至迁入地税务机关。</w:t>
      </w:r>
    </w:p>
    <w:p w14:paraId="591ADB9F" w14:textId="77777777" w:rsidR="00F80150" w:rsidRPr="00F65D4C" w:rsidRDefault="00F80150" w:rsidP="00F356D9">
      <w:pPr>
        <w:ind w:firstLineChars="200" w:firstLine="440"/>
        <w:jc w:val="both"/>
        <w:rPr>
          <w:rFonts w:ascii="Arial" w:hAnsi="Arial"/>
        </w:rPr>
      </w:pPr>
      <w:r w:rsidRPr="00F65D4C">
        <w:rPr>
          <w:rFonts w:ascii="Arial" w:hAnsi="Arial" w:hint="eastAsia"/>
        </w:rPr>
        <w:t>（二）优化迁入流程。迁入地主管税务机关应当在接收到纳税人信息后的一个工作日内完成主管税务科所分配、税（费）种认定并提醒纳税人在迁入地按规定期限进行纳税申报。</w:t>
      </w:r>
    </w:p>
    <w:p w14:paraId="76685865" w14:textId="77777777" w:rsidR="00F80150" w:rsidRPr="00F65D4C" w:rsidRDefault="00F80150" w:rsidP="00F356D9">
      <w:pPr>
        <w:ind w:firstLineChars="200" w:firstLine="440"/>
        <w:jc w:val="both"/>
        <w:rPr>
          <w:rFonts w:ascii="Arial" w:hAnsi="Arial"/>
        </w:rPr>
      </w:pPr>
      <w:r w:rsidRPr="00F65D4C">
        <w:rPr>
          <w:rFonts w:ascii="Arial" w:hAnsi="Arial" w:hint="eastAsia"/>
        </w:rPr>
        <w:t>（三）明确有关事项。纳税人下列信息在迁入地承继：纳税人基础登记、财务会计制度备案、办税人员实名采集、增值税一般纳税人登记、增值税发票票种核定、增值税专用发票最高开票限额、增值税即征即退资格、出口退（免）税备案、已产生的纳税信用评价等信息。</w:t>
      </w:r>
    </w:p>
    <w:p w14:paraId="1C1421A4" w14:textId="77777777" w:rsidR="00F80150" w:rsidRPr="00F65D4C" w:rsidRDefault="00F80150" w:rsidP="00F356D9">
      <w:pPr>
        <w:ind w:firstLineChars="200" w:firstLine="440"/>
        <w:jc w:val="both"/>
        <w:rPr>
          <w:rFonts w:ascii="Arial" w:hAnsi="Arial"/>
        </w:rPr>
      </w:pPr>
      <w:r w:rsidRPr="00F65D4C">
        <w:rPr>
          <w:rFonts w:ascii="Arial" w:hAnsi="Arial" w:hint="eastAsia"/>
        </w:rPr>
        <w:t>纳税人迁移前预缴税款，可在迁入地继续按规定抵缴；企业所得税、个人所得税尚未弥补的亏损，可在迁入地继续按规定弥补；尚未抵扣的增值税进项税额，可在迁入地继续按规定抵扣，无需申请开具《增值税一般纳税人迁移进项税额转移单》。</w:t>
      </w:r>
    </w:p>
    <w:p w14:paraId="4B5B494C" w14:textId="77777777" w:rsidR="00F80150" w:rsidRPr="00F65D4C" w:rsidRDefault="00F80150" w:rsidP="00F356D9">
      <w:pPr>
        <w:ind w:firstLineChars="200" w:firstLine="440"/>
        <w:jc w:val="both"/>
        <w:rPr>
          <w:rFonts w:ascii="Arial" w:hAnsi="Arial"/>
        </w:rPr>
      </w:pPr>
      <w:r w:rsidRPr="00F65D4C">
        <w:rPr>
          <w:rFonts w:ascii="Arial" w:hAnsi="Arial" w:hint="eastAsia"/>
        </w:rPr>
        <w:t>迁移前后业务的办理可参照《跨省（市）迁移相关事项办理指引》（附件</w:t>
      </w:r>
      <w:r w:rsidRPr="00F65D4C">
        <w:rPr>
          <w:rFonts w:ascii="Arial" w:hAnsi="Arial" w:hint="eastAsia"/>
        </w:rPr>
        <w:t>4</w:t>
      </w:r>
      <w:r w:rsidRPr="00F65D4C">
        <w:rPr>
          <w:rFonts w:ascii="Arial" w:hAnsi="Arial" w:hint="eastAsia"/>
        </w:rPr>
        <w:t>）。</w:t>
      </w:r>
    </w:p>
    <w:p w14:paraId="0817D5B5" w14:textId="77777777" w:rsidR="00F80150" w:rsidRPr="00F65D4C" w:rsidRDefault="00F80150" w:rsidP="00F356D9">
      <w:pPr>
        <w:ind w:firstLineChars="200" w:firstLine="442"/>
        <w:jc w:val="both"/>
        <w:rPr>
          <w:rFonts w:ascii="Arial" w:hAnsi="Arial"/>
        </w:rPr>
      </w:pPr>
      <w:r w:rsidRPr="00F65D4C">
        <w:rPr>
          <w:rFonts w:ascii="Arial" w:hAnsi="Arial" w:hint="eastAsia"/>
          <w:b/>
          <w:bCs/>
        </w:rPr>
        <w:t>三、优化税源管理职责</w:t>
      </w:r>
    </w:p>
    <w:p w14:paraId="156E4637" w14:textId="77777777" w:rsidR="00F80150" w:rsidRPr="00F65D4C" w:rsidRDefault="00F80150" w:rsidP="00F356D9">
      <w:pPr>
        <w:ind w:firstLineChars="200" w:firstLine="440"/>
        <w:jc w:val="both"/>
        <w:rPr>
          <w:rFonts w:ascii="Arial" w:hAnsi="Arial"/>
        </w:rPr>
      </w:pPr>
      <w:r w:rsidRPr="00F65D4C">
        <w:rPr>
          <w:rFonts w:ascii="Arial" w:hAnsi="Arial" w:hint="eastAsia"/>
        </w:rPr>
        <w:lastRenderedPageBreak/>
        <w:t>各省税务机关根据本地税源特点优化分级管理职责，提升税收风险分析、重点领域重点群体税收风险管理等复杂事项管理层级，压实市、县税务机关日常管理责任。已提升至省、市税务机关管理的复杂涉税事项，原则上不再推送下级税务机关处理。</w:t>
      </w:r>
    </w:p>
    <w:p w14:paraId="42886E11" w14:textId="77777777" w:rsidR="00F80150" w:rsidRPr="00F65D4C" w:rsidRDefault="00F80150" w:rsidP="00F356D9">
      <w:pPr>
        <w:ind w:firstLineChars="200" w:firstLine="442"/>
        <w:jc w:val="both"/>
        <w:rPr>
          <w:rFonts w:ascii="Arial" w:hAnsi="Arial"/>
        </w:rPr>
      </w:pPr>
      <w:r w:rsidRPr="00F65D4C">
        <w:rPr>
          <w:rFonts w:ascii="Arial" w:hAnsi="Arial" w:hint="eastAsia"/>
          <w:b/>
          <w:bCs/>
        </w:rPr>
        <w:t>四、加强与市场监管部门的登记业务协同</w:t>
      </w:r>
    </w:p>
    <w:p w14:paraId="06F363F6" w14:textId="77777777" w:rsidR="00F80150" w:rsidRPr="00F65D4C" w:rsidRDefault="00F80150" w:rsidP="00F356D9">
      <w:pPr>
        <w:ind w:firstLineChars="200" w:firstLine="440"/>
        <w:jc w:val="both"/>
        <w:rPr>
          <w:rFonts w:ascii="Arial" w:hAnsi="Arial"/>
        </w:rPr>
      </w:pPr>
      <w:r w:rsidRPr="00F65D4C">
        <w:rPr>
          <w:rFonts w:ascii="Arial" w:hAnsi="Arial" w:hint="eastAsia"/>
        </w:rPr>
        <w:t>各省税务机关根据市场监管部门共享的注销登记、吊销营业执照、撤销设立登记等信息，在核心征管系统自动进行数据标识。</w:t>
      </w:r>
    </w:p>
    <w:p w14:paraId="424E896B" w14:textId="77777777" w:rsidR="00F80150" w:rsidRPr="00F65D4C" w:rsidRDefault="00F80150" w:rsidP="00F356D9">
      <w:pPr>
        <w:ind w:firstLineChars="200" w:firstLine="440"/>
        <w:jc w:val="both"/>
        <w:rPr>
          <w:rFonts w:ascii="Arial" w:hAnsi="Arial"/>
        </w:rPr>
      </w:pPr>
      <w:r w:rsidRPr="00F65D4C">
        <w:rPr>
          <w:rFonts w:ascii="Arial" w:hAnsi="Arial" w:hint="eastAsia"/>
        </w:rPr>
        <w:t>对已在市场监管部门办理注销，未在税务部门办理清税且处于正常状态的纳税人，主管税务机关应通知其及时办理税务注销，逾期不办理的，可提请市场监管部门依法处理。</w:t>
      </w:r>
    </w:p>
    <w:p w14:paraId="59FA986C" w14:textId="77777777" w:rsidR="00F80150" w:rsidRPr="00F65D4C" w:rsidRDefault="00F80150" w:rsidP="00F356D9">
      <w:pPr>
        <w:ind w:firstLineChars="200" w:firstLine="440"/>
        <w:jc w:val="both"/>
        <w:rPr>
          <w:rFonts w:ascii="Arial" w:hAnsi="Arial"/>
        </w:rPr>
      </w:pPr>
      <w:r w:rsidRPr="00F65D4C">
        <w:rPr>
          <w:rFonts w:ascii="Arial" w:hAnsi="Arial" w:hint="eastAsia"/>
        </w:rPr>
        <w:t>对已在市场监管部门办理注销，但在核心征管系统</w:t>
      </w:r>
      <w:r w:rsidRPr="00F65D4C">
        <w:rPr>
          <w:rFonts w:ascii="Arial" w:hAnsi="Arial" w:hint="eastAsia"/>
        </w:rPr>
        <w:t>2019</w:t>
      </w:r>
      <w:r w:rsidRPr="00F65D4C">
        <w:rPr>
          <w:rFonts w:ascii="Arial" w:hAnsi="Arial" w:hint="eastAsia"/>
        </w:rPr>
        <w:t>年</w:t>
      </w:r>
      <w:r w:rsidRPr="00F65D4C">
        <w:rPr>
          <w:rFonts w:ascii="Arial" w:hAnsi="Arial" w:hint="eastAsia"/>
        </w:rPr>
        <w:t>5</w:t>
      </w:r>
      <w:r w:rsidRPr="00F65D4C">
        <w:rPr>
          <w:rFonts w:ascii="Arial" w:hAnsi="Arial" w:hint="eastAsia"/>
        </w:rPr>
        <w:t>月</w:t>
      </w:r>
      <w:r w:rsidRPr="00F65D4C">
        <w:rPr>
          <w:rFonts w:ascii="Arial" w:hAnsi="Arial" w:hint="eastAsia"/>
        </w:rPr>
        <w:t>1</w:t>
      </w:r>
      <w:r w:rsidRPr="00F65D4C">
        <w:rPr>
          <w:rFonts w:ascii="Arial" w:hAnsi="Arial" w:hint="eastAsia"/>
        </w:rPr>
        <w:t>日前已被列为非正常户注销状态的纳税人，主管税务机关可直接进行税务注销。</w:t>
      </w:r>
    </w:p>
    <w:p w14:paraId="7DB65D2B" w14:textId="77777777" w:rsidR="00F80150" w:rsidRPr="00F65D4C" w:rsidRDefault="00F80150" w:rsidP="00F356D9">
      <w:pPr>
        <w:ind w:firstLineChars="200" w:firstLine="440"/>
        <w:jc w:val="both"/>
        <w:rPr>
          <w:rFonts w:ascii="Arial" w:hAnsi="Arial"/>
        </w:rPr>
      </w:pPr>
      <w:r w:rsidRPr="00F65D4C">
        <w:rPr>
          <w:rFonts w:ascii="Arial" w:hAnsi="Arial" w:hint="eastAsia"/>
        </w:rPr>
        <w:t>本通知自</w:t>
      </w:r>
      <w:r w:rsidRPr="00F65D4C">
        <w:rPr>
          <w:rFonts w:ascii="Arial" w:hAnsi="Arial" w:hint="eastAsia"/>
        </w:rPr>
        <w:t>2023</w:t>
      </w:r>
      <w:r w:rsidRPr="00F65D4C">
        <w:rPr>
          <w:rFonts w:ascii="Arial" w:hAnsi="Arial" w:hint="eastAsia"/>
        </w:rPr>
        <w:t>年</w:t>
      </w:r>
      <w:r w:rsidRPr="00F65D4C">
        <w:rPr>
          <w:rFonts w:ascii="Arial" w:hAnsi="Arial" w:hint="eastAsia"/>
        </w:rPr>
        <w:t>4</w:t>
      </w:r>
      <w:r w:rsidRPr="00F65D4C">
        <w:rPr>
          <w:rFonts w:ascii="Arial" w:hAnsi="Arial" w:hint="eastAsia"/>
        </w:rPr>
        <w:t>月</w:t>
      </w:r>
      <w:r w:rsidRPr="00F65D4C">
        <w:rPr>
          <w:rFonts w:ascii="Arial" w:hAnsi="Arial" w:hint="eastAsia"/>
        </w:rPr>
        <w:t>1</w:t>
      </w:r>
      <w:r w:rsidRPr="00F65D4C">
        <w:rPr>
          <w:rFonts w:ascii="Arial" w:hAnsi="Arial" w:hint="eastAsia"/>
        </w:rPr>
        <w:t>日起执行，执行中遇有重大问题的，及时向税务总局（征管科技司）报告。</w:t>
      </w:r>
    </w:p>
    <w:p w14:paraId="58213713" w14:textId="77777777" w:rsidR="00F80150" w:rsidRPr="00F65D4C" w:rsidRDefault="00F80150" w:rsidP="00F356D9">
      <w:pPr>
        <w:jc w:val="both"/>
        <w:rPr>
          <w:rFonts w:ascii="Arial" w:hAnsi="Arial"/>
        </w:rPr>
      </w:pPr>
    </w:p>
    <w:p w14:paraId="661B4AB0" w14:textId="0E0F2C52" w:rsidR="00E664F6" w:rsidRDefault="00F80150" w:rsidP="00F356D9">
      <w:pPr>
        <w:jc w:val="both"/>
        <w:rPr>
          <w:rFonts w:ascii="Arial" w:hAnsi="Arial"/>
        </w:rPr>
      </w:pPr>
      <w:r w:rsidRPr="00F65D4C">
        <w:rPr>
          <w:rFonts w:ascii="Arial" w:hAnsi="Arial" w:hint="eastAsia"/>
        </w:rPr>
        <w:t>附件：</w:t>
      </w:r>
      <w:hyperlink r:id="rId7" w:tgtFrame="_blank" w:history="1">
        <w:r w:rsidRPr="00F65D4C">
          <w:rPr>
            <w:rStyle w:val="a3"/>
            <w:rFonts w:ascii="Arial" w:hAnsi="Arial" w:hint="eastAsia"/>
          </w:rPr>
          <w:t>1.</w:t>
        </w:r>
        <w:r w:rsidRPr="00F65D4C">
          <w:rPr>
            <w:rStyle w:val="a3"/>
            <w:rFonts w:ascii="Arial" w:hAnsi="Arial" w:hint="eastAsia"/>
          </w:rPr>
          <w:t>市场主体自动同步变更登记信息数据项</w:t>
        </w:r>
      </w:hyperlink>
    </w:p>
    <w:p w14:paraId="0908B4E2" w14:textId="7827875A" w:rsidR="00F80150" w:rsidRPr="00F65D4C" w:rsidRDefault="00000000" w:rsidP="00F356D9">
      <w:pPr>
        <w:ind w:firstLineChars="300" w:firstLine="660"/>
        <w:jc w:val="both"/>
        <w:rPr>
          <w:rFonts w:ascii="Arial" w:hAnsi="Arial"/>
        </w:rPr>
      </w:pPr>
      <w:hyperlink r:id="rId8" w:tgtFrame="_blank" w:history="1">
        <w:r w:rsidR="00F80150" w:rsidRPr="00F65D4C">
          <w:rPr>
            <w:rStyle w:val="a3"/>
            <w:rFonts w:ascii="Arial" w:hAnsi="Arial" w:hint="eastAsia"/>
          </w:rPr>
          <w:t>2.</w:t>
        </w:r>
        <w:r w:rsidR="00F80150" w:rsidRPr="00F65D4C">
          <w:rPr>
            <w:rStyle w:val="a3"/>
            <w:rFonts w:ascii="Arial" w:hAnsi="Arial" w:hint="eastAsia"/>
          </w:rPr>
          <w:t>跨省（市）迁移涉税事项报告表</w:t>
        </w:r>
      </w:hyperlink>
    </w:p>
    <w:p w14:paraId="2E0FF97A" w14:textId="73A3098B" w:rsidR="00F80150" w:rsidRPr="00F65D4C" w:rsidRDefault="00000000" w:rsidP="00F356D9">
      <w:pPr>
        <w:ind w:firstLineChars="300" w:firstLine="660"/>
        <w:jc w:val="both"/>
        <w:rPr>
          <w:rFonts w:ascii="Arial" w:hAnsi="Arial"/>
        </w:rPr>
      </w:pPr>
      <w:hyperlink r:id="rId9" w:tgtFrame="_blank" w:history="1">
        <w:r w:rsidR="00F80150" w:rsidRPr="00F65D4C">
          <w:rPr>
            <w:rStyle w:val="a3"/>
            <w:rFonts w:ascii="Arial" w:hAnsi="Arial" w:hint="eastAsia"/>
          </w:rPr>
          <w:t>3.</w:t>
        </w:r>
        <w:r w:rsidR="00F80150" w:rsidRPr="00F65D4C">
          <w:rPr>
            <w:rStyle w:val="a3"/>
            <w:rFonts w:ascii="Arial" w:hAnsi="Arial" w:hint="eastAsia"/>
          </w:rPr>
          <w:t>跨省（市）迁移税收征管信息确认表</w:t>
        </w:r>
      </w:hyperlink>
    </w:p>
    <w:p w14:paraId="35E279B7" w14:textId="0C07D589" w:rsidR="00F80150" w:rsidRPr="00F65D4C" w:rsidRDefault="00000000" w:rsidP="00F356D9">
      <w:pPr>
        <w:ind w:firstLineChars="300" w:firstLine="660"/>
        <w:jc w:val="both"/>
        <w:rPr>
          <w:rFonts w:ascii="Arial" w:hAnsi="Arial"/>
        </w:rPr>
      </w:pPr>
      <w:hyperlink r:id="rId10" w:tgtFrame="_blank" w:history="1">
        <w:r w:rsidR="00F80150" w:rsidRPr="00F65D4C">
          <w:rPr>
            <w:rStyle w:val="a3"/>
            <w:rFonts w:ascii="Arial" w:hAnsi="Arial" w:hint="eastAsia"/>
          </w:rPr>
          <w:t>4.</w:t>
        </w:r>
        <w:r w:rsidR="00F80150" w:rsidRPr="00F65D4C">
          <w:rPr>
            <w:rStyle w:val="a3"/>
            <w:rFonts w:ascii="Arial" w:hAnsi="Arial" w:hint="eastAsia"/>
          </w:rPr>
          <w:t>跨省（市）迁移相关事项办理指引</w:t>
        </w:r>
      </w:hyperlink>
    </w:p>
    <w:p w14:paraId="18D624F1" w14:textId="77777777" w:rsidR="00F356D9" w:rsidRDefault="00F356D9" w:rsidP="00F356D9">
      <w:pPr>
        <w:ind w:right="440"/>
        <w:jc w:val="both"/>
        <w:rPr>
          <w:rFonts w:ascii="Arial" w:hAnsi="Arial" w:hint="eastAsia"/>
        </w:rPr>
      </w:pPr>
    </w:p>
    <w:p w14:paraId="4C642464" w14:textId="60EA5545" w:rsidR="00F80150" w:rsidRPr="00F65D4C" w:rsidRDefault="00F80150" w:rsidP="00F356D9">
      <w:pPr>
        <w:jc w:val="right"/>
        <w:rPr>
          <w:rFonts w:ascii="Arial" w:hAnsi="Arial"/>
        </w:rPr>
      </w:pPr>
      <w:r w:rsidRPr="00F65D4C">
        <w:rPr>
          <w:rFonts w:ascii="Arial" w:hAnsi="Arial" w:hint="eastAsia"/>
        </w:rPr>
        <w:t>国家税务总局</w:t>
      </w:r>
    </w:p>
    <w:p w14:paraId="38D4F209" w14:textId="77777777" w:rsidR="00F80150" w:rsidRPr="00F65D4C" w:rsidRDefault="00F80150" w:rsidP="00F356D9">
      <w:pPr>
        <w:jc w:val="right"/>
        <w:rPr>
          <w:rFonts w:ascii="Arial" w:hAnsi="Arial"/>
        </w:rPr>
      </w:pPr>
      <w:r w:rsidRPr="00F65D4C">
        <w:rPr>
          <w:rFonts w:ascii="Arial" w:hAnsi="Arial" w:hint="eastAsia"/>
        </w:rPr>
        <w:t>2022</w:t>
      </w:r>
      <w:r w:rsidRPr="00F65D4C">
        <w:rPr>
          <w:rFonts w:ascii="Arial" w:hAnsi="Arial" w:hint="eastAsia"/>
        </w:rPr>
        <w:t>年</w:t>
      </w:r>
      <w:r w:rsidRPr="00F65D4C">
        <w:rPr>
          <w:rFonts w:ascii="Arial" w:hAnsi="Arial" w:hint="eastAsia"/>
        </w:rPr>
        <w:t>12</w:t>
      </w:r>
      <w:r w:rsidRPr="00F65D4C">
        <w:rPr>
          <w:rFonts w:ascii="Arial" w:hAnsi="Arial" w:hint="eastAsia"/>
        </w:rPr>
        <w:t>月</w:t>
      </w:r>
      <w:r w:rsidRPr="00F65D4C">
        <w:rPr>
          <w:rFonts w:ascii="Arial" w:hAnsi="Arial" w:hint="eastAsia"/>
        </w:rPr>
        <w:t>29</w:t>
      </w:r>
      <w:r w:rsidRPr="00F65D4C">
        <w:rPr>
          <w:rFonts w:ascii="Arial" w:hAnsi="Arial" w:hint="eastAsia"/>
        </w:rPr>
        <w:t>日</w:t>
      </w:r>
    </w:p>
    <w:p w14:paraId="5FE4A0C5" w14:textId="77777777" w:rsidR="00F356D9" w:rsidRDefault="00F356D9" w:rsidP="00F356D9">
      <w:pPr>
        <w:rPr>
          <w:rFonts w:ascii="Arial" w:hAnsi="Arial"/>
        </w:rPr>
      </w:pPr>
    </w:p>
    <w:p w14:paraId="3C7279F5" w14:textId="77777777" w:rsidR="00F356D9" w:rsidRDefault="00F356D9" w:rsidP="00F356D9">
      <w:pPr>
        <w:rPr>
          <w:rFonts w:ascii="Arial" w:hAnsi="Arial"/>
        </w:rPr>
      </w:pPr>
    </w:p>
    <w:p w14:paraId="562DCF9E" w14:textId="60F89B80" w:rsidR="00F45EEB" w:rsidRPr="00F65D4C" w:rsidRDefault="00745306" w:rsidP="00F356D9">
      <w:pPr>
        <w:rPr>
          <w:rFonts w:ascii="Arial" w:hAnsi="Arial"/>
        </w:rPr>
      </w:pPr>
      <w:r w:rsidRPr="00F65D4C">
        <w:rPr>
          <w:rFonts w:ascii="Arial" w:hAnsi="Arial" w:hint="eastAsia"/>
        </w:rPr>
        <w:t>信息来源：</w:t>
      </w:r>
    </w:p>
    <w:p w14:paraId="312C45CC" w14:textId="6D97C93C" w:rsidR="00745306" w:rsidRPr="00F65D4C" w:rsidRDefault="00000000" w:rsidP="00F356D9">
      <w:pPr>
        <w:rPr>
          <w:rFonts w:ascii="Arial" w:hAnsi="Arial"/>
        </w:rPr>
      </w:pPr>
      <w:hyperlink r:id="rId11" w:history="1">
        <w:r w:rsidR="00745306" w:rsidRPr="00F65D4C">
          <w:rPr>
            <w:rStyle w:val="a3"/>
            <w:rFonts w:ascii="Arial" w:hAnsi="Arial"/>
          </w:rPr>
          <w:t>http://www.chinatax.gov.cn/chinatax/n81</w:t>
        </w:r>
        <w:r w:rsidR="00745306" w:rsidRPr="00F65D4C">
          <w:rPr>
            <w:rStyle w:val="a3"/>
            <w:rFonts w:ascii="Arial" w:hAnsi="Arial"/>
          </w:rPr>
          <w:t>0</w:t>
        </w:r>
        <w:r w:rsidR="00745306" w:rsidRPr="00F65D4C">
          <w:rPr>
            <w:rStyle w:val="a3"/>
            <w:rFonts w:ascii="Arial" w:hAnsi="Arial"/>
          </w:rPr>
          <w:t>341/n810825/c101434/c5183506/content.html</w:t>
        </w:r>
      </w:hyperlink>
    </w:p>
    <w:p w14:paraId="6AF2D0D0" w14:textId="77777777" w:rsidR="00745306" w:rsidRPr="00F65D4C" w:rsidRDefault="00745306" w:rsidP="00F356D9">
      <w:pPr>
        <w:rPr>
          <w:rFonts w:ascii="Arial" w:hAnsi="Arial"/>
        </w:rPr>
      </w:pPr>
    </w:p>
    <w:sectPr w:rsidR="00745306" w:rsidRPr="00F65D4C" w:rsidSect="00F356D9">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0BC4" w14:textId="77777777" w:rsidR="00C73596" w:rsidRDefault="00C73596" w:rsidP="00745274">
      <w:pPr>
        <w:spacing w:line="240" w:lineRule="auto"/>
      </w:pPr>
      <w:r>
        <w:separator/>
      </w:r>
    </w:p>
  </w:endnote>
  <w:endnote w:type="continuationSeparator" w:id="0">
    <w:p w14:paraId="5FFB3652" w14:textId="77777777" w:rsidR="00C73596" w:rsidRDefault="00C73596" w:rsidP="00745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D4CF" w14:textId="77777777" w:rsidR="00C73596" w:rsidRDefault="00C73596" w:rsidP="00745274">
      <w:pPr>
        <w:spacing w:line="240" w:lineRule="auto"/>
      </w:pPr>
      <w:r>
        <w:separator/>
      </w:r>
    </w:p>
  </w:footnote>
  <w:footnote w:type="continuationSeparator" w:id="0">
    <w:p w14:paraId="752DAF8C" w14:textId="77777777" w:rsidR="00C73596" w:rsidRDefault="00C73596" w:rsidP="007452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80150"/>
    <w:rsid w:val="00745274"/>
    <w:rsid w:val="00745306"/>
    <w:rsid w:val="00B41EDF"/>
    <w:rsid w:val="00C73596"/>
    <w:rsid w:val="00E664F6"/>
    <w:rsid w:val="00F356D9"/>
    <w:rsid w:val="00F45EEB"/>
    <w:rsid w:val="00F65D4C"/>
    <w:rsid w:val="00F80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69133"/>
  <w15:chartTrackingRefBased/>
  <w15:docId w15:val="{C2FB0831-DF99-408A-A4CA-ED0D553A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0150"/>
    <w:rPr>
      <w:color w:val="0563C1" w:themeColor="hyperlink"/>
      <w:u w:val="single"/>
    </w:rPr>
  </w:style>
  <w:style w:type="character" w:styleId="a4">
    <w:name w:val="Unresolved Mention"/>
    <w:basedOn w:val="a0"/>
    <w:uiPriority w:val="99"/>
    <w:semiHidden/>
    <w:unhideWhenUsed/>
    <w:rsid w:val="00F80150"/>
    <w:rPr>
      <w:color w:val="605E5C"/>
      <w:shd w:val="clear" w:color="auto" w:fill="E1DFDD"/>
    </w:rPr>
  </w:style>
  <w:style w:type="paragraph" w:styleId="a5">
    <w:name w:val="header"/>
    <w:basedOn w:val="a"/>
    <w:link w:val="a6"/>
    <w:uiPriority w:val="99"/>
    <w:unhideWhenUsed/>
    <w:rsid w:val="00745274"/>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745274"/>
    <w:rPr>
      <w:sz w:val="18"/>
      <w:szCs w:val="18"/>
    </w:rPr>
  </w:style>
  <w:style w:type="paragraph" w:styleId="a7">
    <w:name w:val="footer"/>
    <w:basedOn w:val="a"/>
    <w:link w:val="a8"/>
    <w:uiPriority w:val="99"/>
    <w:unhideWhenUsed/>
    <w:rsid w:val="00745274"/>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745274"/>
    <w:rPr>
      <w:sz w:val="18"/>
      <w:szCs w:val="18"/>
    </w:rPr>
  </w:style>
  <w:style w:type="character" w:styleId="a9">
    <w:name w:val="FollowedHyperlink"/>
    <w:basedOn w:val="a0"/>
    <w:uiPriority w:val="99"/>
    <w:semiHidden/>
    <w:unhideWhenUsed/>
    <w:rsid w:val="00F356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174214">
      <w:bodyDiv w:val="1"/>
      <w:marLeft w:val="0"/>
      <w:marRight w:val="0"/>
      <w:marTop w:val="0"/>
      <w:marBottom w:val="0"/>
      <w:divBdr>
        <w:top w:val="none" w:sz="0" w:space="0" w:color="auto"/>
        <w:left w:val="none" w:sz="0" w:space="0" w:color="auto"/>
        <w:bottom w:val="none" w:sz="0" w:space="0" w:color="auto"/>
        <w:right w:val="none" w:sz="0" w:space="0" w:color="auto"/>
      </w:divBdr>
      <w:divsChild>
        <w:div w:id="367947733">
          <w:marLeft w:val="0"/>
          <w:marRight w:val="0"/>
          <w:marTop w:val="0"/>
          <w:marBottom w:val="0"/>
          <w:divBdr>
            <w:top w:val="none" w:sz="0" w:space="0" w:color="auto"/>
            <w:left w:val="none" w:sz="0" w:space="0" w:color="auto"/>
            <w:bottom w:val="none" w:sz="0" w:space="0" w:color="auto"/>
            <w:right w:val="none" w:sz="0" w:space="0" w:color="auto"/>
          </w:divBdr>
          <w:divsChild>
            <w:div w:id="42219217">
              <w:marLeft w:val="0"/>
              <w:marRight w:val="0"/>
              <w:marTop w:val="210"/>
              <w:marBottom w:val="210"/>
              <w:divBdr>
                <w:top w:val="none" w:sz="0" w:space="0" w:color="auto"/>
                <w:left w:val="none" w:sz="0" w:space="0" w:color="auto"/>
                <w:bottom w:val="none" w:sz="0" w:space="0" w:color="auto"/>
                <w:right w:val="none" w:sz="0" w:space="0" w:color="auto"/>
              </w:divBdr>
              <w:divsChild>
                <w:div w:id="1968730747">
                  <w:marLeft w:val="0"/>
                  <w:marRight w:val="0"/>
                  <w:marTop w:val="150"/>
                  <w:marBottom w:val="0"/>
                  <w:divBdr>
                    <w:top w:val="none" w:sz="0" w:space="0" w:color="auto"/>
                    <w:left w:val="none" w:sz="0" w:space="0" w:color="auto"/>
                    <w:bottom w:val="none" w:sz="0" w:space="0" w:color="auto"/>
                    <w:right w:val="none" w:sz="0" w:space="0" w:color="auto"/>
                  </w:divBdr>
                  <w:divsChild>
                    <w:div w:id="1472743992">
                      <w:marLeft w:val="0"/>
                      <w:marRight w:val="0"/>
                      <w:marTop w:val="0"/>
                      <w:marBottom w:val="0"/>
                      <w:divBdr>
                        <w:top w:val="none" w:sz="0" w:space="0" w:color="auto"/>
                        <w:left w:val="none" w:sz="0" w:space="0" w:color="auto"/>
                        <w:bottom w:val="none" w:sz="0" w:space="0" w:color="auto"/>
                        <w:right w:val="none" w:sz="0" w:space="0" w:color="auto"/>
                      </w:divBdr>
                      <w:divsChild>
                        <w:div w:id="1609120100">
                          <w:marLeft w:val="75"/>
                          <w:marRight w:val="0"/>
                          <w:marTop w:val="0"/>
                          <w:marBottom w:val="0"/>
                          <w:divBdr>
                            <w:top w:val="none" w:sz="0" w:space="0" w:color="auto"/>
                            <w:left w:val="none" w:sz="0" w:space="0" w:color="auto"/>
                            <w:bottom w:val="none" w:sz="0" w:space="0" w:color="auto"/>
                            <w:right w:val="none" w:sz="0" w:space="0" w:color="auto"/>
                          </w:divBdr>
                          <w:divsChild>
                            <w:div w:id="1360476286">
                              <w:marLeft w:val="0"/>
                              <w:marRight w:val="0"/>
                              <w:marTop w:val="0"/>
                              <w:marBottom w:val="0"/>
                              <w:divBdr>
                                <w:top w:val="none" w:sz="0" w:space="0" w:color="auto"/>
                                <w:left w:val="none" w:sz="0" w:space="0" w:color="auto"/>
                                <w:bottom w:val="none" w:sz="0" w:space="0" w:color="auto"/>
                                <w:right w:val="none" w:sz="0" w:space="0" w:color="auto"/>
                              </w:divBdr>
                              <w:divsChild>
                                <w:div w:id="12239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5765">
                      <w:marLeft w:val="150"/>
                      <w:marRight w:val="0"/>
                      <w:marTop w:val="0"/>
                      <w:marBottom w:val="0"/>
                      <w:divBdr>
                        <w:top w:val="none" w:sz="0" w:space="0" w:color="auto"/>
                        <w:left w:val="none" w:sz="0" w:space="0" w:color="auto"/>
                        <w:bottom w:val="none" w:sz="0" w:space="0" w:color="auto"/>
                        <w:right w:val="none" w:sz="0" w:space="0" w:color="auto"/>
                      </w:divBdr>
                    </w:div>
                    <w:div w:id="8607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02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um.hhp.com.cn/newlaw/20230112001_0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entrum.hhp.com.cn/newlaw/20230112001_01.x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hinatax.gov.cn/chinatax/n810341/n810825/c101434/c5183506/content.html" TargetMode="External"/><Relationship Id="rId5" Type="http://schemas.openxmlformats.org/officeDocument/2006/relationships/footnotes" Target="footnotes.xml"/><Relationship Id="rId10" Type="http://schemas.openxmlformats.org/officeDocument/2006/relationships/hyperlink" Target="http://centrum.hhp.com.cn/newlaw/20230112001_04.pdf" TargetMode="External"/><Relationship Id="rId4" Type="http://schemas.openxmlformats.org/officeDocument/2006/relationships/webSettings" Target="webSettings.xml"/><Relationship Id="rId9" Type="http://schemas.openxmlformats.org/officeDocument/2006/relationships/hyperlink" Target="http://centrum.hhp.com.cn/newlaw/20230112001_03.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E32BA-D1D6-40E5-A663-E6F4829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2023-01-10T02:00:00Z</dcterms:created>
  <dcterms:modified xsi:type="dcterms:W3CDTF">2023-01-12T12:49:00Z</dcterms:modified>
</cp:coreProperties>
</file>