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D0FF" w14:textId="77777777" w:rsidR="00D1027A" w:rsidRPr="00D1027A" w:rsidRDefault="00392C5A" w:rsidP="00D1027A">
      <w:pPr>
        <w:pStyle w:val="AD"/>
        <w:spacing w:line="276" w:lineRule="auto"/>
        <w:jc w:val="center"/>
        <w:rPr>
          <w:b/>
          <w:bCs/>
          <w:color w:val="E36C0A"/>
          <w:sz w:val="32"/>
          <w:szCs w:val="32"/>
        </w:rPr>
      </w:pPr>
      <w:r w:rsidRPr="00D1027A">
        <w:rPr>
          <w:rFonts w:hint="eastAsia"/>
          <w:b/>
          <w:bCs/>
          <w:color w:val="E36C0A"/>
          <w:sz w:val="32"/>
          <w:szCs w:val="32"/>
        </w:rPr>
        <w:t>关于麻醉药品和精神药品进出口管理有关事宜的公告</w:t>
      </w:r>
    </w:p>
    <w:p w14:paraId="260423CB" w14:textId="5CEA7764" w:rsidR="00392C5A" w:rsidRPr="00D1027A" w:rsidRDefault="00392C5A" w:rsidP="00D1027A">
      <w:pPr>
        <w:jc w:val="center"/>
        <w:rPr>
          <w:rFonts w:ascii="Arial" w:hAnsi="Arial"/>
        </w:rPr>
      </w:pPr>
      <w:r w:rsidRPr="00D1027A">
        <w:rPr>
          <w:rFonts w:ascii="Arial" w:hAnsi="Arial" w:hint="eastAsia"/>
        </w:rPr>
        <w:t>（</w:t>
      </w:r>
      <w:r w:rsidRPr="00D1027A">
        <w:rPr>
          <w:rFonts w:ascii="Arial" w:hAnsi="Arial" w:hint="eastAsia"/>
        </w:rPr>
        <w:t>2022</w:t>
      </w:r>
      <w:r w:rsidRPr="00D1027A">
        <w:rPr>
          <w:rFonts w:ascii="Arial" w:hAnsi="Arial" w:hint="eastAsia"/>
        </w:rPr>
        <w:t>年第</w:t>
      </w:r>
      <w:r w:rsidRPr="00D1027A">
        <w:rPr>
          <w:rFonts w:ascii="Arial" w:hAnsi="Arial" w:hint="eastAsia"/>
        </w:rPr>
        <w:t>115</w:t>
      </w:r>
      <w:r w:rsidRPr="00D1027A">
        <w:rPr>
          <w:rFonts w:ascii="Arial" w:hAnsi="Arial" w:hint="eastAsia"/>
        </w:rPr>
        <w:t>号）</w:t>
      </w:r>
    </w:p>
    <w:p w14:paraId="39F3E973" w14:textId="77777777" w:rsidR="00D1027A" w:rsidRPr="00D1027A" w:rsidRDefault="00D1027A" w:rsidP="00392C5A">
      <w:pPr>
        <w:rPr>
          <w:rFonts w:ascii="Arial" w:hAnsi="Arial"/>
        </w:rPr>
      </w:pPr>
    </w:p>
    <w:p w14:paraId="3F4D6902" w14:textId="77777777" w:rsidR="00392C5A" w:rsidRPr="00D1027A" w:rsidRDefault="00392C5A" w:rsidP="00137465">
      <w:pPr>
        <w:jc w:val="both"/>
        <w:rPr>
          <w:rFonts w:ascii="Arial" w:hAnsi="Arial"/>
        </w:rPr>
      </w:pPr>
      <w:r w:rsidRPr="00D1027A">
        <w:rPr>
          <w:rFonts w:ascii="Arial" w:hAnsi="Arial" w:hint="eastAsia"/>
        </w:rPr>
        <w:t xml:space="preserve">　　为进一步深化“放管服”改革，加强麻醉药品和精神药品进出口管理，促进麻醉药品和精神药品跨境贸易便利化和规范化，根据《中华人民共和国药品管理法》《麻醉药品和精神药品管理条例》，现将有关事宜通知如下：</w:t>
      </w:r>
    </w:p>
    <w:p w14:paraId="17C24E44" w14:textId="77777777" w:rsidR="00392C5A" w:rsidRPr="00D1027A" w:rsidRDefault="00392C5A" w:rsidP="00137465">
      <w:pPr>
        <w:jc w:val="both"/>
        <w:rPr>
          <w:rFonts w:ascii="Arial" w:hAnsi="Arial"/>
        </w:rPr>
      </w:pPr>
      <w:r w:rsidRPr="00D1027A">
        <w:rPr>
          <w:rFonts w:ascii="Arial" w:hAnsi="Arial" w:hint="eastAsia"/>
        </w:rPr>
        <w:t xml:space="preserve">　　一、根据《中华人民共和国药品管理法》《麻醉药品和精神药品管理条例》等法律法规，国家对麻醉药品和精神药品实行进出口准许证管理。进口、出口麻醉药品和精神药品应当取得国家药监局颁发的进口准许证（附件</w:t>
      </w:r>
      <w:r w:rsidRPr="00D1027A">
        <w:rPr>
          <w:rFonts w:ascii="Arial" w:hAnsi="Arial" w:hint="eastAsia"/>
        </w:rPr>
        <w:t>1</w:t>
      </w:r>
      <w:r w:rsidRPr="00D1027A">
        <w:rPr>
          <w:rFonts w:ascii="Arial" w:hAnsi="Arial" w:hint="eastAsia"/>
        </w:rPr>
        <w:t>）、出口准许证（附件</w:t>
      </w:r>
      <w:r w:rsidRPr="00D1027A">
        <w:rPr>
          <w:rFonts w:ascii="Arial" w:hAnsi="Arial" w:hint="eastAsia"/>
        </w:rPr>
        <w:t>2</w:t>
      </w:r>
      <w:r w:rsidRPr="00D1027A">
        <w:rPr>
          <w:rFonts w:ascii="Arial" w:hAnsi="Arial" w:hint="eastAsia"/>
        </w:rPr>
        <w:t>）。进口麻醉药品和精神药品无需办理进口药品通关单。</w:t>
      </w:r>
    </w:p>
    <w:p w14:paraId="144146B2" w14:textId="77777777" w:rsidR="00392C5A" w:rsidRPr="00D1027A" w:rsidRDefault="00392C5A" w:rsidP="00137465">
      <w:pPr>
        <w:jc w:val="both"/>
        <w:rPr>
          <w:rFonts w:ascii="Arial" w:hAnsi="Arial"/>
        </w:rPr>
      </w:pPr>
      <w:r w:rsidRPr="00D1027A">
        <w:rPr>
          <w:rFonts w:ascii="Arial" w:hAnsi="Arial" w:hint="eastAsia"/>
        </w:rPr>
        <w:t xml:space="preserve">　　二、申请人在国家药监局网上办事大厅注册并实名认证后，按照《国家药监局关于启用药品业务应用系统的公告》（</w:t>
      </w:r>
      <w:r w:rsidRPr="00D1027A">
        <w:rPr>
          <w:rFonts w:ascii="Arial" w:hAnsi="Arial" w:hint="eastAsia"/>
        </w:rPr>
        <w:t>2019</w:t>
      </w:r>
      <w:r w:rsidRPr="00D1027A">
        <w:rPr>
          <w:rFonts w:ascii="Arial" w:hAnsi="Arial" w:hint="eastAsia"/>
        </w:rPr>
        <w:t>年第</w:t>
      </w:r>
      <w:r w:rsidRPr="00D1027A">
        <w:rPr>
          <w:rFonts w:ascii="Arial" w:hAnsi="Arial" w:hint="eastAsia"/>
        </w:rPr>
        <w:t>112</w:t>
      </w:r>
      <w:r w:rsidRPr="00D1027A">
        <w:rPr>
          <w:rFonts w:ascii="Arial" w:hAnsi="Arial" w:hint="eastAsia"/>
        </w:rPr>
        <w:t>号）网上申请进出口准许证，或可通过中国国际贸易“单一窗口”网上申请进出口准许证。</w:t>
      </w:r>
    </w:p>
    <w:p w14:paraId="2741D2CA" w14:textId="77777777" w:rsidR="00392C5A" w:rsidRPr="00D1027A" w:rsidRDefault="00392C5A" w:rsidP="00137465">
      <w:pPr>
        <w:jc w:val="both"/>
        <w:rPr>
          <w:rFonts w:ascii="Arial" w:hAnsi="Arial"/>
        </w:rPr>
      </w:pPr>
      <w:r w:rsidRPr="00D1027A">
        <w:rPr>
          <w:rFonts w:ascii="Arial" w:hAnsi="Arial" w:hint="eastAsia"/>
        </w:rPr>
        <w:t xml:space="preserve">　　三、国家药监局同步发放进出口电子准许证和纸质证件，电子证件和纸质证件具有同等法律效力。申请人可进入国家药监局网上办事大厅“我的证照”栏目或登录“中国药监</w:t>
      </w:r>
      <w:r w:rsidRPr="00D1027A">
        <w:rPr>
          <w:rFonts w:ascii="Arial" w:hAnsi="Arial" w:hint="eastAsia"/>
        </w:rPr>
        <w:t>APP</w:t>
      </w:r>
      <w:r w:rsidRPr="00D1027A">
        <w:rPr>
          <w:rFonts w:ascii="Arial" w:hAnsi="Arial" w:hint="eastAsia"/>
        </w:rPr>
        <w:t>”，查看下载进出口电子准许证。</w:t>
      </w:r>
    </w:p>
    <w:p w14:paraId="234044BC" w14:textId="77777777" w:rsidR="00392C5A" w:rsidRPr="00D1027A" w:rsidRDefault="00392C5A" w:rsidP="00137465">
      <w:pPr>
        <w:jc w:val="both"/>
        <w:rPr>
          <w:rFonts w:ascii="Arial" w:hAnsi="Arial"/>
        </w:rPr>
      </w:pPr>
      <w:r w:rsidRPr="00D1027A">
        <w:rPr>
          <w:rFonts w:ascii="Arial" w:hAnsi="Arial" w:hint="eastAsia"/>
        </w:rPr>
        <w:t xml:space="preserve">　　四、海关通过联网核查验核准许证电子证件，不再进行纸面签注。海关总署及时将进出口准许证使用情况，药品名称、包装规格和进出口数量、进出口日期等核销数据反馈国家药监局。</w:t>
      </w:r>
    </w:p>
    <w:p w14:paraId="7399A05C" w14:textId="77777777" w:rsidR="00392C5A" w:rsidRPr="00D1027A" w:rsidRDefault="00392C5A" w:rsidP="00137465">
      <w:pPr>
        <w:jc w:val="both"/>
        <w:rPr>
          <w:rFonts w:ascii="Arial" w:hAnsi="Arial"/>
        </w:rPr>
      </w:pPr>
      <w:r w:rsidRPr="00D1027A">
        <w:rPr>
          <w:rFonts w:ascii="Arial" w:hAnsi="Arial" w:hint="eastAsia"/>
        </w:rPr>
        <w:t xml:space="preserve">　　五、进口准许证有效期</w:t>
      </w:r>
      <w:r w:rsidRPr="00D1027A">
        <w:rPr>
          <w:rFonts w:ascii="Arial" w:hAnsi="Arial" w:hint="eastAsia"/>
        </w:rPr>
        <w:t>1</w:t>
      </w:r>
      <w:r w:rsidRPr="00D1027A">
        <w:rPr>
          <w:rFonts w:ascii="Arial" w:hAnsi="Arial" w:hint="eastAsia"/>
        </w:rPr>
        <w:t>年，可以跨自然年使用；出口准许证有效期不超过</w:t>
      </w:r>
      <w:r w:rsidRPr="00D1027A">
        <w:rPr>
          <w:rFonts w:ascii="Arial" w:hAnsi="Arial" w:hint="eastAsia"/>
        </w:rPr>
        <w:t>3</w:t>
      </w:r>
      <w:r w:rsidRPr="00D1027A">
        <w:rPr>
          <w:rFonts w:ascii="Arial" w:hAnsi="Arial" w:hint="eastAsia"/>
        </w:rPr>
        <w:t>个月，有效期时限不跨自然年。进出口准许证实行“一证一关”（仅能在证面载明的口岸办理通关验放手续），且只能在有效期内一次性使用。</w:t>
      </w:r>
    </w:p>
    <w:p w14:paraId="67A9CEDF" w14:textId="77777777" w:rsidR="00392C5A" w:rsidRPr="00D1027A" w:rsidRDefault="00392C5A" w:rsidP="00137465">
      <w:pPr>
        <w:jc w:val="both"/>
        <w:rPr>
          <w:rFonts w:ascii="Arial" w:hAnsi="Arial"/>
        </w:rPr>
      </w:pPr>
      <w:r w:rsidRPr="00D1027A">
        <w:rPr>
          <w:rFonts w:ascii="Arial" w:hAnsi="Arial" w:hint="eastAsia"/>
        </w:rPr>
        <w:t xml:space="preserve">　　六、医务人员为医疗需要携带少量麻醉药品和精神药品出入境的，应当持所在地省级药品监管部门发放的携带麻醉药品和精神药品证明（附件</w:t>
      </w:r>
      <w:r w:rsidRPr="00D1027A">
        <w:rPr>
          <w:rFonts w:ascii="Arial" w:hAnsi="Arial" w:hint="eastAsia"/>
        </w:rPr>
        <w:t>3</w:t>
      </w:r>
      <w:r w:rsidRPr="00D1027A">
        <w:rPr>
          <w:rFonts w:ascii="Arial" w:hAnsi="Arial" w:hint="eastAsia"/>
        </w:rPr>
        <w:t>）。海关凭携带麻醉药品和精神药品证明放行。</w:t>
      </w:r>
    </w:p>
    <w:p w14:paraId="78723F1D" w14:textId="77777777" w:rsidR="00392C5A" w:rsidRPr="00D1027A" w:rsidRDefault="00392C5A" w:rsidP="00137465">
      <w:pPr>
        <w:jc w:val="both"/>
        <w:rPr>
          <w:rFonts w:ascii="Arial" w:hAnsi="Arial"/>
        </w:rPr>
      </w:pPr>
      <w:r w:rsidRPr="00D1027A">
        <w:rPr>
          <w:rFonts w:ascii="Arial" w:hAnsi="Arial" w:hint="eastAsia"/>
        </w:rPr>
        <w:t xml:space="preserve">　　本公告自</w:t>
      </w:r>
      <w:r w:rsidRPr="00D1027A">
        <w:rPr>
          <w:rFonts w:ascii="Arial" w:hAnsi="Arial" w:hint="eastAsia"/>
        </w:rPr>
        <w:t>2023</w:t>
      </w:r>
      <w:r w:rsidRPr="00D1027A">
        <w:rPr>
          <w:rFonts w:ascii="Arial" w:hAnsi="Arial" w:hint="eastAsia"/>
        </w:rPr>
        <w:t>年</w:t>
      </w:r>
      <w:r w:rsidRPr="00D1027A">
        <w:rPr>
          <w:rFonts w:ascii="Arial" w:hAnsi="Arial" w:hint="eastAsia"/>
        </w:rPr>
        <w:t>1</w:t>
      </w:r>
      <w:r w:rsidRPr="00D1027A">
        <w:rPr>
          <w:rFonts w:ascii="Arial" w:hAnsi="Arial" w:hint="eastAsia"/>
        </w:rPr>
        <w:t>月</w:t>
      </w:r>
      <w:r w:rsidRPr="00D1027A">
        <w:rPr>
          <w:rFonts w:ascii="Arial" w:hAnsi="Arial" w:hint="eastAsia"/>
        </w:rPr>
        <w:t>1</w:t>
      </w:r>
      <w:r w:rsidRPr="00D1027A">
        <w:rPr>
          <w:rFonts w:ascii="Arial" w:hAnsi="Arial" w:hint="eastAsia"/>
        </w:rPr>
        <w:t>日起施行。本公告实施前国家药监局核发的进口准许证在有效期内可继续使用。</w:t>
      </w:r>
      <w:r w:rsidRPr="00D1027A">
        <w:rPr>
          <w:rFonts w:ascii="Arial" w:hAnsi="Arial" w:hint="eastAsia"/>
        </w:rPr>
        <w:t>2001</w:t>
      </w:r>
      <w:r w:rsidRPr="00D1027A">
        <w:rPr>
          <w:rFonts w:ascii="Arial" w:hAnsi="Arial" w:hint="eastAsia"/>
        </w:rPr>
        <w:t>年</w:t>
      </w:r>
      <w:r w:rsidRPr="00D1027A">
        <w:rPr>
          <w:rFonts w:ascii="Arial" w:hAnsi="Arial" w:hint="eastAsia"/>
        </w:rPr>
        <w:t>12</w:t>
      </w:r>
      <w:r w:rsidRPr="00D1027A">
        <w:rPr>
          <w:rFonts w:ascii="Arial" w:hAnsi="Arial" w:hint="eastAsia"/>
        </w:rPr>
        <w:t>月</w:t>
      </w:r>
      <w:r w:rsidRPr="00D1027A">
        <w:rPr>
          <w:rFonts w:ascii="Arial" w:hAnsi="Arial" w:hint="eastAsia"/>
        </w:rPr>
        <w:t>31</w:t>
      </w:r>
      <w:r w:rsidRPr="00D1027A">
        <w:rPr>
          <w:rFonts w:ascii="Arial" w:hAnsi="Arial" w:hint="eastAsia"/>
        </w:rPr>
        <w:t>日原国家药品监督管理局、海关总署联合发布的《关于加强麻醉药品精神药品进出口管理有关问题的通知》（国药监安〔</w:t>
      </w:r>
      <w:r w:rsidRPr="00D1027A">
        <w:rPr>
          <w:rFonts w:ascii="Arial" w:hAnsi="Arial" w:hint="eastAsia"/>
        </w:rPr>
        <w:t>2001</w:t>
      </w:r>
      <w:r w:rsidRPr="00D1027A">
        <w:rPr>
          <w:rFonts w:ascii="Arial" w:hAnsi="Arial" w:hint="eastAsia"/>
        </w:rPr>
        <w:t>〕</w:t>
      </w:r>
      <w:r w:rsidRPr="00D1027A">
        <w:rPr>
          <w:rFonts w:ascii="Arial" w:hAnsi="Arial" w:hint="eastAsia"/>
        </w:rPr>
        <w:t>585</w:t>
      </w:r>
      <w:r w:rsidRPr="00D1027A">
        <w:rPr>
          <w:rFonts w:ascii="Arial" w:hAnsi="Arial" w:hint="eastAsia"/>
        </w:rPr>
        <w:t>号）同时废止。</w:t>
      </w:r>
    </w:p>
    <w:p w14:paraId="51EC3046" w14:textId="77777777" w:rsidR="00392C5A" w:rsidRPr="00D1027A" w:rsidRDefault="00392C5A" w:rsidP="00137465">
      <w:pPr>
        <w:jc w:val="both"/>
        <w:rPr>
          <w:rFonts w:ascii="Arial" w:hAnsi="Arial"/>
        </w:rPr>
      </w:pPr>
      <w:r w:rsidRPr="00D1027A">
        <w:rPr>
          <w:rFonts w:ascii="Arial" w:hAnsi="Arial" w:hint="eastAsia"/>
        </w:rPr>
        <w:t xml:space="preserve">　　特此公告。</w:t>
      </w:r>
    </w:p>
    <w:p w14:paraId="6D04C744" w14:textId="1FEE2BF3" w:rsidR="00392C5A" w:rsidRPr="00D1027A" w:rsidRDefault="00392C5A" w:rsidP="00392C5A">
      <w:pPr>
        <w:rPr>
          <w:rFonts w:ascii="Arial" w:hAnsi="Arial"/>
        </w:rPr>
      </w:pPr>
    </w:p>
    <w:p w14:paraId="6B5D73BC" w14:textId="46AC7D9A" w:rsidR="00392C5A" w:rsidRPr="00D1027A" w:rsidRDefault="00392C5A" w:rsidP="00392C5A">
      <w:pPr>
        <w:rPr>
          <w:rFonts w:ascii="Arial" w:hAnsi="Arial"/>
        </w:rPr>
      </w:pPr>
      <w:r w:rsidRPr="00D1027A">
        <w:rPr>
          <w:rFonts w:ascii="Arial" w:hAnsi="Arial" w:hint="eastAsia"/>
        </w:rPr>
        <w:t xml:space="preserve">　　附件：</w:t>
      </w:r>
      <w:hyperlink r:id="rId6" w:history="1">
        <w:r w:rsidRPr="00D1027A">
          <w:rPr>
            <w:rStyle w:val="a3"/>
            <w:rFonts w:ascii="Arial" w:hAnsi="Arial" w:hint="eastAsia"/>
          </w:rPr>
          <w:t>1.</w:t>
        </w:r>
        <w:r w:rsidRPr="00D1027A">
          <w:rPr>
            <w:rStyle w:val="a3"/>
            <w:rFonts w:ascii="Arial" w:hAnsi="Arial" w:hint="eastAsia"/>
          </w:rPr>
          <w:t>进口准许证式样</w:t>
        </w:r>
      </w:hyperlink>
    </w:p>
    <w:p w14:paraId="7B2DF332" w14:textId="091F27D3" w:rsidR="00392C5A" w:rsidRPr="00D1027A" w:rsidRDefault="00392C5A" w:rsidP="00392C5A">
      <w:pPr>
        <w:rPr>
          <w:rFonts w:ascii="Arial" w:hAnsi="Arial"/>
        </w:rPr>
      </w:pPr>
      <w:r w:rsidRPr="00D1027A">
        <w:rPr>
          <w:rFonts w:ascii="Arial" w:hAnsi="Arial" w:hint="eastAsia"/>
        </w:rPr>
        <w:t xml:space="preserve">　　　　　</w:t>
      </w:r>
      <w:hyperlink r:id="rId7" w:history="1">
        <w:r w:rsidRPr="00D1027A">
          <w:rPr>
            <w:rStyle w:val="a3"/>
            <w:rFonts w:ascii="Arial" w:hAnsi="Arial" w:hint="eastAsia"/>
          </w:rPr>
          <w:t>2.</w:t>
        </w:r>
        <w:r w:rsidRPr="00D1027A">
          <w:rPr>
            <w:rStyle w:val="a3"/>
            <w:rFonts w:ascii="Arial" w:hAnsi="Arial" w:hint="eastAsia"/>
          </w:rPr>
          <w:t>出口准许证式样</w:t>
        </w:r>
      </w:hyperlink>
    </w:p>
    <w:p w14:paraId="2CD7C7C4" w14:textId="356132B5" w:rsidR="00392C5A" w:rsidRPr="00D1027A" w:rsidRDefault="00392C5A" w:rsidP="00392C5A">
      <w:pPr>
        <w:rPr>
          <w:rFonts w:ascii="Arial" w:hAnsi="Arial"/>
        </w:rPr>
      </w:pPr>
      <w:r w:rsidRPr="00D1027A">
        <w:rPr>
          <w:rFonts w:ascii="Arial" w:hAnsi="Arial" w:hint="eastAsia"/>
        </w:rPr>
        <w:t xml:space="preserve">　　　　　</w:t>
      </w:r>
      <w:hyperlink r:id="rId8" w:history="1">
        <w:r w:rsidRPr="00D1027A">
          <w:rPr>
            <w:rStyle w:val="a3"/>
            <w:rFonts w:ascii="Arial" w:hAnsi="Arial" w:hint="eastAsia"/>
          </w:rPr>
          <w:t>3.</w:t>
        </w:r>
        <w:r w:rsidRPr="00D1027A">
          <w:rPr>
            <w:rStyle w:val="a3"/>
            <w:rFonts w:ascii="Arial" w:hAnsi="Arial" w:hint="eastAsia"/>
          </w:rPr>
          <w:t>携带麻醉药品和精神药品证明式样</w:t>
        </w:r>
      </w:hyperlink>
    </w:p>
    <w:p w14:paraId="6D1774C1" w14:textId="77777777" w:rsidR="00392C5A" w:rsidRPr="00D1027A" w:rsidRDefault="00392C5A" w:rsidP="00392C5A">
      <w:pPr>
        <w:rPr>
          <w:rFonts w:ascii="Arial" w:hAnsi="Arial"/>
        </w:rPr>
      </w:pPr>
    </w:p>
    <w:p w14:paraId="0F123E32" w14:textId="77777777" w:rsidR="00392C5A" w:rsidRPr="00D1027A" w:rsidRDefault="00392C5A" w:rsidP="00392C5A">
      <w:pPr>
        <w:jc w:val="right"/>
        <w:rPr>
          <w:rFonts w:ascii="Arial" w:hAnsi="Arial"/>
        </w:rPr>
      </w:pPr>
      <w:r w:rsidRPr="00D1027A">
        <w:rPr>
          <w:rFonts w:ascii="Arial" w:hAnsi="Arial" w:hint="eastAsia"/>
        </w:rPr>
        <w:t xml:space="preserve">　　国家药监局</w:t>
      </w:r>
      <w:r w:rsidRPr="00D1027A">
        <w:rPr>
          <w:rFonts w:ascii="Arial" w:hAnsi="Arial" w:hint="eastAsia"/>
        </w:rPr>
        <w:t xml:space="preserve"> </w:t>
      </w:r>
      <w:r w:rsidRPr="00D1027A">
        <w:rPr>
          <w:rFonts w:ascii="Arial" w:hAnsi="Arial" w:hint="eastAsia"/>
        </w:rPr>
        <w:t>海关总署</w:t>
      </w:r>
    </w:p>
    <w:p w14:paraId="49E8BD2F" w14:textId="77777777" w:rsidR="00392C5A" w:rsidRPr="00D1027A" w:rsidRDefault="00392C5A" w:rsidP="00392C5A">
      <w:pPr>
        <w:jc w:val="right"/>
        <w:rPr>
          <w:rFonts w:ascii="Arial" w:hAnsi="Arial"/>
        </w:rPr>
      </w:pPr>
      <w:r w:rsidRPr="00D1027A">
        <w:rPr>
          <w:rFonts w:ascii="Arial" w:hAnsi="Arial" w:hint="eastAsia"/>
        </w:rPr>
        <w:t xml:space="preserve">　　</w:t>
      </w:r>
      <w:r w:rsidRPr="00D1027A">
        <w:rPr>
          <w:rFonts w:ascii="Arial" w:hAnsi="Arial" w:hint="eastAsia"/>
        </w:rPr>
        <w:t>2022</w:t>
      </w:r>
      <w:r w:rsidRPr="00D1027A">
        <w:rPr>
          <w:rFonts w:ascii="Arial" w:hAnsi="Arial" w:hint="eastAsia"/>
        </w:rPr>
        <w:t>年</w:t>
      </w:r>
      <w:r w:rsidRPr="00D1027A">
        <w:rPr>
          <w:rFonts w:ascii="Arial" w:hAnsi="Arial" w:hint="eastAsia"/>
        </w:rPr>
        <w:t>11</w:t>
      </w:r>
      <w:r w:rsidRPr="00D1027A">
        <w:rPr>
          <w:rFonts w:ascii="Arial" w:hAnsi="Arial" w:hint="eastAsia"/>
        </w:rPr>
        <w:t>月</w:t>
      </w:r>
      <w:r w:rsidRPr="00D1027A">
        <w:rPr>
          <w:rFonts w:ascii="Arial" w:hAnsi="Arial" w:hint="eastAsia"/>
        </w:rPr>
        <w:t>18</w:t>
      </w:r>
      <w:r w:rsidRPr="00D1027A">
        <w:rPr>
          <w:rFonts w:ascii="Arial" w:hAnsi="Arial" w:hint="eastAsia"/>
        </w:rPr>
        <w:t>日</w:t>
      </w:r>
    </w:p>
    <w:p w14:paraId="5104D82B" w14:textId="77777777" w:rsidR="00137465" w:rsidRDefault="00137465">
      <w:pPr>
        <w:rPr>
          <w:rFonts w:ascii="Arial" w:hAnsi="Arial"/>
        </w:rPr>
      </w:pPr>
    </w:p>
    <w:p w14:paraId="29EF505B" w14:textId="77777777" w:rsidR="00137465" w:rsidRDefault="00137465">
      <w:pPr>
        <w:rPr>
          <w:rFonts w:ascii="Arial" w:hAnsi="Arial"/>
        </w:rPr>
      </w:pPr>
    </w:p>
    <w:p w14:paraId="102C59FF" w14:textId="41E5DA2A" w:rsidR="00F45EEB" w:rsidRPr="00D1027A" w:rsidRDefault="004B7E51">
      <w:pPr>
        <w:rPr>
          <w:rFonts w:ascii="Arial" w:hAnsi="Arial"/>
        </w:rPr>
      </w:pPr>
      <w:r w:rsidRPr="00D1027A">
        <w:rPr>
          <w:rFonts w:ascii="Arial" w:hAnsi="Arial" w:hint="eastAsia"/>
        </w:rPr>
        <w:t>信息来源：</w:t>
      </w:r>
    </w:p>
    <w:p w14:paraId="4A048FC0" w14:textId="53F5CFFB" w:rsidR="00663016" w:rsidRPr="00D1027A" w:rsidRDefault="00000000">
      <w:pPr>
        <w:rPr>
          <w:rFonts w:ascii="Arial" w:hAnsi="Arial" w:hint="eastAsia"/>
        </w:rPr>
      </w:pPr>
      <w:hyperlink r:id="rId9" w:history="1">
        <w:r w:rsidR="00663016" w:rsidRPr="00D1027A">
          <w:rPr>
            <w:rStyle w:val="a3"/>
            <w:rFonts w:ascii="Arial" w:hAnsi="Arial"/>
          </w:rPr>
          <w:t>https://www.nmpa.gov.cn/xxgk/fgwj/gzwj/gzwjyp/20221222172008153.html</w:t>
        </w:r>
      </w:hyperlink>
    </w:p>
    <w:sectPr w:rsidR="00663016" w:rsidRPr="00D1027A" w:rsidSect="00F23C6C">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A3A8" w14:textId="77777777" w:rsidR="00617620" w:rsidRDefault="00617620" w:rsidP="00F23C6C">
      <w:pPr>
        <w:spacing w:line="240" w:lineRule="auto"/>
      </w:pPr>
      <w:r>
        <w:separator/>
      </w:r>
    </w:p>
  </w:endnote>
  <w:endnote w:type="continuationSeparator" w:id="0">
    <w:p w14:paraId="62BE9F9F" w14:textId="77777777" w:rsidR="00617620" w:rsidRDefault="00617620" w:rsidP="00F23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F126" w14:textId="77777777" w:rsidR="00617620" w:rsidRDefault="00617620" w:rsidP="00F23C6C">
      <w:pPr>
        <w:spacing w:line="240" w:lineRule="auto"/>
      </w:pPr>
      <w:r>
        <w:separator/>
      </w:r>
    </w:p>
  </w:footnote>
  <w:footnote w:type="continuationSeparator" w:id="0">
    <w:p w14:paraId="7B25BDCE" w14:textId="77777777" w:rsidR="00617620" w:rsidRDefault="00617620" w:rsidP="00F23C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2C5A"/>
    <w:rsid w:val="00137465"/>
    <w:rsid w:val="00392C5A"/>
    <w:rsid w:val="004B7E51"/>
    <w:rsid w:val="00617620"/>
    <w:rsid w:val="00663016"/>
    <w:rsid w:val="00783F3E"/>
    <w:rsid w:val="00A52510"/>
    <w:rsid w:val="00B41EDF"/>
    <w:rsid w:val="00C920AF"/>
    <w:rsid w:val="00D1027A"/>
    <w:rsid w:val="00D81990"/>
    <w:rsid w:val="00F23C6C"/>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C4AB"/>
  <w15:chartTrackingRefBased/>
  <w15:docId w15:val="{80869E4C-CA74-4EFA-9DB0-D3221907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2C5A"/>
    <w:rPr>
      <w:color w:val="0563C1" w:themeColor="hyperlink"/>
      <w:u w:val="single"/>
    </w:rPr>
  </w:style>
  <w:style w:type="character" w:styleId="a4">
    <w:name w:val="Unresolved Mention"/>
    <w:basedOn w:val="a0"/>
    <w:uiPriority w:val="99"/>
    <w:semiHidden/>
    <w:unhideWhenUsed/>
    <w:rsid w:val="00392C5A"/>
    <w:rPr>
      <w:color w:val="605E5C"/>
      <w:shd w:val="clear" w:color="auto" w:fill="E1DFDD"/>
    </w:rPr>
  </w:style>
  <w:style w:type="paragraph" w:customStyle="1" w:styleId="AD">
    <w:name w:val="AD"/>
    <w:basedOn w:val="a"/>
    <w:rsid w:val="00D1027A"/>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F23C6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F23C6C"/>
    <w:rPr>
      <w:sz w:val="18"/>
      <w:szCs w:val="18"/>
    </w:rPr>
  </w:style>
  <w:style w:type="paragraph" w:styleId="a7">
    <w:name w:val="footer"/>
    <w:basedOn w:val="a"/>
    <w:link w:val="a8"/>
    <w:uiPriority w:val="99"/>
    <w:unhideWhenUsed/>
    <w:rsid w:val="00F23C6C"/>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F23C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02774">
      <w:bodyDiv w:val="1"/>
      <w:marLeft w:val="0"/>
      <w:marRight w:val="0"/>
      <w:marTop w:val="0"/>
      <w:marBottom w:val="0"/>
      <w:divBdr>
        <w:top w:val="none" w:sz="0" w:space="0" w:color="auto"/>
        <w:left w:val="none" w:sz="0" w:space="0" w:color="auto"/>
        <w:bottom w:val="none" w:sz="0" w:space="0" w:color="auto"/>
        <w:right w:val="none" w:sz="0" w:space="0" w:color="auto"/>
      </w:divBdr>
      <w:divsChild>
        <w:div w:id="1388065183">
          <w:marLeft w:val="0"/>
          <w:marRight w:val="0"/>
          <w:marTop w:val="0"/>
          <w:marBottom w:val="0"/>
          <w:divBdr>
            <w:top w:val="none" w:sz="0" w:space="0" w:color="auto"/>
            <w:left w:val="none" w:sz="0" w:space="0" w:color="auto"/>
            <w:bottom w:val="none" w:sz="0" w:space="0" w:color="auto"/>
            <w:right w:val="none" w:sz="0" w:space="0" w:color="auto"/>
          </w:divBdr>
        </w:div>
        <w:div w:id="1056314224">
          <w:marLeft w:val="0"/>
          <w:marRight w:val="0"/>
          <w:marTop w:val="0"/>
          <w:marBottom w:val="0"/>
          <w:divBdr>
            <w:top w:val="single" w:sz="6" w:space="6" w:color="989898"/>
            <w:left w:val="none" w:sz="0" w:space="0" w:color="auto"/>
            <w:bottom w:val="none" w:sz="0" w:space="0" w:color="auto"/>
            <w:right w:val="none" w:sz="0" w:space="0" w:color="auto"/>
          </w:divBdr>
        </w:div>
        <w:div w:id="861286121">
          <w:marLeft w:val="0"/>
          <w:marRight w:val="0"/>
          <w:marTop w:val="0"/>
          <w:marBottom w:val="0"/>
          <w:divBdr>
            <w:top w:val="none" w:sz="0" w:space="0" w:color="auto"/>
            <w:left w:val="none" w:sz="0" w:space="0" w:color="auto"/>
            <w:bottom w:val="none" w:sz="0" w:space="0" w:color="auto"/>
            <w:right w:val="none" w:sz="0" w:space="0" w:color="auto"/>
          </w:divBdr>
        </w:div>
      </w:divsChild>
    </w:div>
    <w:div w:id="1094476565">
      <w:bodyDiv w:val="1"/>
      <w:marLeft w:val="0"/>
      <w:marRight w:val="0"/>
      <w:marTop w:val="0"/>
      <w:marBottom w:val="0"/>
      <w:divBdr>
        <w:top w:val="none" w:sz="0" w:space="0" w:color="auto"/>
        <w:left w:val="none" w:sz="0" w:space="0" w:color="auto"/>
        <w:bottom w:val="none" w:sz="0" w:space="0" w:color="auto"/>
        <w:right w:val="none" w:sz="0" w:space="0" w:color="auto"/>
      </w:divBdr>
      <w:divsChild>
        <w:div w:id="1328053868">
          <w:marLeft w:val="0"/>
          <w:marRight w:val="0"/>
          <w:marTop w:val="0"/>
          <w:marBottom w:val="0"/>
          <w:divBdr>
            <w:top w:val="none" w:sz="0" w:space="0" w:color="auto"/>
            <w:left w:val="none" w:sz="0" w:space="0" w:color="auto"/>
            <w:bottom w:val="none" w:sz="0" w:space="0" w:color="auto"/>
            <w:right w:val="none" w:sz="0" w:space="0" w:color="auto"/>
          </w:divBdr>
        </w:div>
        <w:div w:id="586233358">
          <w:marLeft w:val="0"/>
          <w:marRight w:val="0"/>
          <w:marTop w:val="0"/>
          <w:marBottom w:val="0"/>
          <w:divBdr>
            <w:top w:val="single" w:sz="6" w:space="6" w:color="989898"/>
            <w:left w:val="none" w:sz="0" w:space="0" w:color="auto"/>
            <w:bottom w:val="none" w:sz="0" w:space="0" w:color="auto"/>
            <w:right w:val="none" w:sz="0" w:space="0" w:color="auto"/>
          </w:divBdr>
        </w:div>
        <w:div w:id="132293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21229003_03.pdf" TargetMode="External"/><Relationship Id="rId3" Type="http://schemas.openxmlformats.org/officeDocument/2006/relationships/webSettings" Target="webSettings.xml"/><Relationship Id="rId7" Type="http://schemas.openxmlformats.org/officeDocument/2006/relationships/hyperlink" Target="http://centrum.hhp.com.cn/newlaw/20221229003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229003_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mpa.gov.cn/xxgk/fgwj/gzwj/gzwjyp/2022122217200815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2022-12-27T06:47:00Z</dcterms:created>
  <dcterms:modified xsi:type="dcterms:W3CDTF">2022-12-30T10:35:00Z</dcterms:modified>
</cp:coreProperties>
</file>