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D752" w14:textId="5C46C253" w:rsidR="002916E6" w:rsidRPr="002706A0" w:rsidRDefault="002916E6" w:rsidP="00F01145">
      <w:pPr>
        <w:pStyle w:val="AD"/>
        <w:spacing w:line="276" w:lineRule="auto"/>
        <w:jc w:val="center"/>
        <w:rPr>
          <w:b/>
          <w:bCs/>
          <w:color w:val="E36C0A"/>
          <w:sz w:val="32"/>
          <w:szCs w:val="32"/>
        </w:rPr>
      </w:pPr>
      <w:r w:rsidRPr="002706A0">
        <w:rPr>
          <w:rFonts w:hint="eastAsia"/>
          <w:b/>
          <w:bCs/>
          <w:color w:val="E36C0A"/>
          <w:sz w:val="32"/>
          <w:szCs w:val="32"/>
        </w:rPr>
        <w:t>关于印发涉案电子烟价格管理细则的通知</w:t>
      </w:r>
    </w:p>
    <w:p w14:paraId="0A5CB34E" w14:textId="77777777" w:rsidR="002916E6" w:rsidRDefault="002916E6" w:rsidP="00F01145">
      <w:pPr>
        <w:pStyle w:val="AD"/>
        <w:spacing w:line="276" w:lineRule="auto"/>
        <w:jc w:val="center"/>
      </w:pPr>
      <w:r>
        <w:rPr>
          <w:rFonts w:hint="eastAsia"/>
        </w:rPr>
        <w:t>国烟法〔</w:t>
      </w:r>
      <w:r>
        <w:rPr>
          <w:rFonts w:hint="eastAsia"/>
        </w:rPr>
        <w:t>2022</w:t>
      </w:r>
      <w:r>
        <w:rPr>
          <w:rFonts w:hint="eastAsia"/>
        </w:rPr>
        <w:t>〕</w:t>
      </w:r>
      <w:r>
        <w:rPr>
          <w:rFonts w:hint="eastAsia"/>
        </w:rPr>
        <w:t>165</w:t>
      </w:r>
      <w:r>
        <w:rPr>
          <w:rFonts w:hint="eastAsia"/>
        </w:rPr>
        <w:t>号</w:t>
      </w:r>
    </w:p>
    <w:p w14:paraId="21577920" w14:textId="77777777" w:rsidR="002916E6" w:rsidRDefault="002916E6" w:rsidP="00F01145">
      <w:pPr>
        <w:pStyle w:val="AD"/>
        <w:spacing w:line="276" w:lineRule="auto"/>
      </w:pPr>
    </w:p>
    <w:p w14:paraId="33CE8689" w14:textId="77777777" w:rsidR="002916E6" w:rsidRDefault="002916E6" w:rsidP="00F01145">
      <w:pPr>
        <w:pStyle w:val="AD"/>
        <w:spacing w:line="276" w:lineRule="auto"/>
      </w:pPr>
      <w:r>
        <w:rPr>
          <w:rFonts w:hint="eastAsia"/>
        </w:rPr>
        <w:t>各省级烟草专卖局：</w:t>
      </w:r>
    </w:p>
    <w:p w14:paraId="150BFB4E" w14:textId="77777777" w:rsidR="002916E6" w:rsidRDefault="002916E6" w:rsidP="00F01145">
      <w:pPr>
        <w:pStyle w:val="AD"/>
        <w:spacing w:line="276" w:lineRule="auto"/>
      </w:pPr>
    </w:p>
    <w:p w14:paraId="07B4A865" w14:textId="77777777" w:rsidR="002916E6" w:rsidRDefault="002916E6" w:rsidP="00F01145">
      <w:pPr>
        <w:pStyle w:val="AD"/>
        <w:spacing w:line="276" w:lineRule="auto"/>
      </w:pPr>
      <w:r>
        <w:rPr>
          <w:rFonts w:hint="eastAsia"/>
        </w:rPr>
        <w:t>现将《涉案电子烟价格管理细则》印发给你们，请结合实际认真遵照执行。</w:t>
      </w:r>
    </w:p>
    <w:p w14:paraId="38ACE1FD" w14:textId="77777777" w:rsidR="002916E6" w:rsidRDefault="002916E6" w:rsidP="00F01145">
      <w:pPr>
        <w:pStyle w:val="AD"/>
        <w:spacing w:line="276" w:lineRule="auto"/>
      </w:pPr>
    </w:p>
    <w:p w14:paraId="5B6682B2" w14:textId="77777777" w:rsidR="002916E6" w:rsidRDefault="002916E6" w:rsidP="00F01145">
      <w:pPr>
        <w:pStyle w:val="AD"/>
        <w:spacing w:line="276" w:lineRule="auto"/>
      </w:pPr>
      <w:r>
        <w:rPr>
          <w:rFonts w:hint="eastAsia"/>
        </w:rPr>
        <w:t>2022</w:t>
      </w:r>
      <w:r>
        <w:rPr>
          <w:rFonts w:hint="eastAsia"/>
        </w:rPr>
        <w:t>年至</w:t>
      </w:r>
      <w:r>
        <w:rPr>
          <w:rFonts w:hint="eastAsia"/>
        </w:rPr>
        <w:t>2023</w:t>
      </w:r>
      <w:r>
        <w:rPr>
          <w:rFonts w:hint="eastAsia"/>
        </w:rPr>
        <w:t>年，《涉案电子烟价格管理细则》第五、七条所称“上年度”，统一按照</w:t>
      </w:r>
      <w:r>
        <w:rPr>
          <w:rFonts w:hint="eastAsia"/>
        </w:rPr>
        <w:t>2022</w:t>
      </w:r>
      <w:r>
        <w:rPr>
          <w:rFonts w:hint="eastAsia"/>
        </w:rPr>
        <w:t>年</w:t>
      </w:r>
      <w:r>
        <w:rPr>
          <w:rFonts w:hint="eastAsia"/>
        </w:rPr>
        <w:t>11</w:t>
      </w:r>
      <w:r>
        <w:rPr>
          <w:rFonts w:hint="eastAsia"/>
        </w:rPr>
        <w:t>月</w:t>
      </w:r>
      <w:r>
        <w:rPr>
          <w:rFonts w:hint="eastAsia"/>
        </w:rPr>
        <w:t>1</w:t>
      </w:r>
      <w:r>
        <w:rPr>
          <w:rFonts w:hint="eastAsia"/>
        </w:rPr>
        <w:t>日至案件查获时上月底的时间段计算。</w:t>
      </w:r>
    </w:p>
    <w:p w14:paraId="27C3E4A0" w14:textId="08A57DB5" w:rsidR="002916E6" w:rsidRDefault="002916E6" w:rsidP="00F01145">
      <w:pPr>
        <w:pStyle w:val="AD"/>
        <w:spacing w:line="276" w:lineRule="auto"/>
      </w:pPr>
    </w:p>
    <w:p w14:paraId="5EB0F252" w14:textId="1DB222FD" w:rsidR="002916E6" w:rsidRDefault="002916E6" w:rsidP="00F01145">
      <w:pPr>
        <w:pStyle w:val="AD"/>
        <w:spacing w:line="276" w:lineRule="auto"/>
        <w:jc w:val="right"/>
      </w:pPr>
      <w:r>
        <w:rPr>
          <w:rFonts w:hint="eastAsia"/>
        </w:rPr>
        <w:t>国家烟草专卖局</w:t>
      </w:r>
    </w:p>
    <w:p w14:paraId="454D1F03" w14:textId="475137DF" w:rsidR="002916E6" w:rsidRDefault="002916E6" w:rsidP="00F01145">
      <w:pPr>
        <w:pStyle w:val="AD"/>
        <w:spacing w:line="276" w:lineRule="auto"/>
        <w:jc w:val="right"/>
      </w:pPr>
      <w:r>
        <w:t>2022</w:t>
      </w:r>
      <w:r>
        <w:rPr>
          <w:rFonts w:hint="eastAsia"/>
        </w:rPr>
        <w:t>年</w:t>
      </w:r>
      <w:r>
        <w:t>12</w:t>
      </w:r>
      <w:r>
        <w:rPr>
          <w:rFonts w:hint="eastAsia"/>
        </w:rPr>
        <w:t>月</w:t>
      </w:r>
      <w:r>
        <w:t>14</w:t>
      </w:r>
      <w:r>
        <w:rPr>
          <w:rFonts w:hint="eastAsia"/>
        </w:rPr>
        <w:t>日</w:t>
      </w:r>
    </w:p>
    <w:p w14:paraId="3AAB8D28" w14:textId="77777777" w:rsidR="002916E6" w:rsidRDefault="002916E6" w:rsidP="00F01145">
      <w:pPr>
        <w:pStyle w:val="AD"/>
        <w:spacing w:line="276" w:lineRule="auto"/>
      </w:pPr>
    </w:p>
    <w:p w14:paraId="625313EB" w14:textId="77777777" w:rsidR="002916E6" w:rsidRDefault="002916E6" w:rsidP="00F01145">
      <w:pPr>
        <w:pStyle w:val="AD"/>
        <w:spacing w:line="276" w:lineRule="auto"/>
        <w:jc w:val="left"/>
      </w:pPr>
      <w:r>
        <w:rPr>
          <w:rFonts w:hint="eastAsia"/>
        </w:rPr>
        <w:t>（主动公开）</w:t>
      </w:r>
    </w:p>
    <w:p w14:paraId="76DF50CD" w14:textId="0C063D24" w:rsidR="002916E6" w:rsidRDefault="002916E6" w:rsidP="00F01145">
      <w:pPr>
        <w:pStyle w:val="AD"/>
        <w:spacing w:line="276" w:lineRule="auto"/>
      </w:pPr>
    </w:p>
    <w:p w14:paraId="66645003" w14:textId="77777777" w:rsidR="006D1220" w:rsidRDefault="006D1220" w:rsidP="00F01145">
      <w:pPr>
        <w:pStyle w:val="AD"/>
        <w:spacing w:line="276" w:lineRule="auto"/>
        <w:rPr>
          <w:rFonts w:hint="eastAsia"/>
        </w:rPr>
      </w:pPr>
    </w:p>
    <w:p w14:paraId="702BB0C5" w14:textId="77777777" w:rsidR="002916E6" w:rsidRPr="00EC2127" w:rsidRDefault="002916E6" w:rsidP="00F01145">
      <w:pPr>
        <w:pStyle w:val="AD"/>
        <w:spacing w:line="276" w:lineRule="auto"/>
        <w:jc w:val="center"/>
        <w:rPr>
          <w:b/>
          <w:bCs/>
          <w:color w:val="E36C0A"/>
          <w:sz w:val="32"/>
          <w:szCs w:val="32"/>
        </w:rPr>
      </w:pPr>
      <w:r w:rsidRPr="006D1220">
        <w:rPr>
          <w:rFonts w:hint="eastAsia"/>
          <w:b/>
          <w:bCs/>
          <w:color w:val="E36C0A"/>
          <w:sz w:val="28"/>
          <w:szCs w:val="28"/>
        </w:rPr>
        <w:t>涉案电子烟价格管理细则</w:t>
      </w:r>
    </w:p>
    <w:p w14:paraId="22513E2B" w14:textId="44F50800" w:rsidR="002916E6" w:rsidRDefault="002916E6" w:rsidP="00F01145">
      <w:pPr>
        <w:pStyle w:val="AD"/>
        <w:spacing w:line="276" w:lineRule="auto"/>
      </w:pPr>
    </w:p>
    <w:p w14:paraId="21CACA45" w14:textId="769074F7" w:rsidR="002916E6" w:rsidRDefault="002916E6" w:rsidP="00F01145">
      <w:pPr>
        <w:pStyle w:val="AD"/>
        <w:spacing w:line="276" w:lineRule="auto"/>
      </w:pPr>
      <w:r>
        <w:rPr>
          <w:rFonts w:hint="eastAsia"/>
        </w:rPr>
        <w:t>第一条</w:t>
      </w:r>
      <w:r>
        <w:t xml:space="preserve"> </w:t>
      </w:r>
      <w:r w:rsidR="00C76B75">
        <w:t xml:space="preserve"> </w:t>
      </w:r>
      <w:r>
        <w:rPr>
          <w:rFonts w:hint="eastAsia"/>
        </w:rPr>
        <w:t>为规范和加强涉案电子烟价格管理工</w:t>
      </w:r>
      <w:r w:rsidR="00F01145">
        <w:rPr>
          <w:rFonts w:hint="eastAsia"/>
        </w:rPr>
        <w:t>a</w:t>
      </w:r>
      <w:r w:rsidR="00F01145">
        <w:t>a</w:t>
      </w:r>
      <w:r>
        <w:rPr>
          <w:rFonts w:hint="eastAsia"/>
        </w:rPr>
        <w:t>作，根据《中华人民共和国烟草专卖法》《中华人民共和国烟草专卖法实施条例》及《电子烟管理办法》（国家烟草专卖局公告</w:t>
      </w:r>
      <w:r>
        <w:t>2022</w:t>
      </w:r>
      <w:r>
        <w:rPr>
          <w:rFonts w:hint="eastAsia"/>
        </w:rPr>
        <w:t>年第</w:t>
      </w:r>
      <w:r>
        <w:t>1</w:t>
      </w:r>
      <w:r>
        <w:rPr>
          <w:rFonts w:hint="eastAsia"/>
        </w:rPr>
        <w:t>号）等法律法规、规章及规范性文件，制定本细则。</w:t>
      </w:r>
    </w:p>
    <w:p w14:paraId="7BBE79F3" w14:textId="77777777" w:rsidR="002916E6" w:rsidRDefault="002916E6" w:rsidP="00F01145">
      <w:pPr>
        <w:pStyle w:val="AD"/>
        <w:spacing w:line="276" w:lineRule="auto"/>
      </w:pPr>
    </w:p>
    <w:p w14:paraId="55596B05" w14:textId="32BA238A" w:rsidR="002916E6" w:rsidRDefault="002916E6" w:rsidP="00F01145">
      <w:pPr>
        <w:pStyle w:val="AD"/>
        <w:spacing w:line="276" w:lineRule="auto"/>
      </w:pPr>
      <w:r>
        <w:rPr>
          <w:rFonts w:hint="eastAsia"/>
        </w:rPr>
        <w:t>第二条</w:t>
      </w:r>
      <w:r>
        <w:t xml:space="preserve"> </w:t>
      </w:r>
      <w:r w:rsidR="00C76B75">
        <w:t xml:space="preserve"> </w:t>
      </w:r>
      <w:r>
        <w:rPr>
          <w:rFonts w:hint="eastAsia"/>
        </w:rPr>
        <w:t>本细则适用于中华人民共和国境内，各级烟草专卖局或其他有权机关依法查获的电子烟产品、电子烟用烟碱及雾化物等的价格出具等价格管理活动。</w:t>
      </w:r>
    </w:p>
    <w:p w14:paraId="626B6F83" w14:textId="77777777" w:rsidR="002916E6" w:rsidRDefault="002916E6" w:rsidP="00F01145">
      <w:pPr>
        <w:pStyle w:val="AD"/>
        <w:spacing w:line="276" w:lineRule="auto"/>
      </w:pPr>
    </w:p>
    <w:p w14:paraId="4EA1E67B" w14:textId="4BC5DAE1" w:rsidR="002916E6" w:rsidRDefault="002916E6" w:rsidP="00F01145">
      <w:pPr>
        <w:pStyle w:val="AD"/>
        <w:spacing w:line="276" w:lineRule="auto"/>
      </w:pPr>
      <w:r>
        <w:rPr>
          <w:rFonts w:hint="eastAsia"/>
        </w:rPr>
        <w:t>第三条</w:t>
      </w:r>
      <w:r>
        <w:t xml:space="preserve"> </w:t>
      </w:r>
      <w:r w:rsidR="00C76B75">
        <w:t xml:space="preserve"> </w:t>
      </w:r>
      <w:r>
        <w:rPr>
          <w:rFonts w:hint="eastAsia"/>
        </w:rPr>
        <w:t>国家烟草专卖局价格管理职能部门负责全国涉案电子烟价格政策制定，承担涉案电子烟价格监督管理工作。各省级烟草专卖局须成立由价格管理部门牵头，电子烟管理、计划、专卖、销售、财务、法规等有关部门参加的涉案电子烟价格管理小组，明确部门权限和职责，负责本省（区、市）涉案电子烟价格管理工作。</w:t>
      </w:r>
    </w:p>
    <w:p w14:paraId="3413DA1F" w14:textId="77777777" w:rsidR="002916E6" w:rsidRDefault="002916E6" w:rsidP="00F01145">
      <w:pPr>
        <w:pStyle w:val="AD"/>
        <w:spacing w:line="276" w:lineRule="auto"/>
      </w:pPr>
    </w:p>
    <w:p w14:paraId="78A39E24" w14:textId="1E1C9111" w:rsidR="002916E6" w:rsidRDefault="002916E6" w:rsidP="00F01145">
      <w:pPr>
        <w:pStyle w:val="AD"/>
        <w:spacing w:line="276" w:lineRule="auto"/>
      </w:pPr>
      <w:r>
        <w:rPr>
          <w:rFonts w:hint="eastAsia"/>
        </w:rPr>
        <w:t>第四条</w:t>
      </w:r>
      <w:r>
        <w:t xml:space="preserve"> </w:t>
      </w:r>
      <w:r w:rsidR="00C76B75">
        <w:t xml:space="preserve"> </w:t>
      </w:r>
      <w:r>
        <w:rPr>
          <w:rFonts w:hint="eastAsia"/>
        </w:rPr>
        <w:t>电子烟涉案案件查处中，无法查清实际销售或者购买价格的，各省级烟草专卖局按本细则要求出具价格。</w:t>
      </w:r>
    </w:p>
    <w:p w14:paraId="37F6C4D6" w14:textId="77777777" w:rsidR="002916E6" w:rsidRDefault="002916E6" w:rsidP="00F01145">
      <w:pPr>
        <w:pStyle w:val="AD"/>
        <w:spacing w:line="276" w:lineRule="auto"/>
      </w:pPr>
    </w:p>
    <w:p w14:paraId="10EA2607" w14:textId="1D314398" w:rsidR="002916E6" w:rsidRDefault="002916E6" w:rsidP="00F01145">
      <w:pPr>
        <w:pStyle w:val="AD"/>
        <w:spacing w:line="276" w:lineRule="auto"/>
      </w:pPr>
      <w:r>
        <w:rPr>
          <w:rFonts w:hint="eastAsia"/>
        </w:rPr>
        <w:t>第五条</w:t>
      </w:r>
      <w:r>
        <w:t xml:space="preserve"> </w:t>
      </w:r>
      <w:r w:rsidR="00C76B75">
        <w:t xml:space="preserve"> </w:t>
      </w:r>
      <w:r>
        <w:rPr>
          <w:rFonts w:hint="eastAsia"/>
        </w:rPr>
        <w:t>涉案电子烟产品零售价格出具：</w:t>
      </w:r>
    </w:p>
    <w:p w14:paraId="01C19DAF" w14:textId="77777777" w:rsidR="002916E6" w:rsidRDefault="002916E6" w:rsidP="00F01145">
      <w:pPr>
        <w:pStyle w:val="AD"/>
        <w:spacing w:line="276" w:lineRule="auto"/>
      </w:pPr>
    </w:p>
    <w:p w14:paraId="7BCAEC75" w14:textId="77777777" w:rsidR="002916E6" w:rsidRDefault="002916E6" w:rsidP="00F01145">
      <w:pPr>
        <w:pStyle w:val="AD"/>
        <w:spacing w:line="276" w:lineRule="auto"/>
      </w:pPr>
      <w:r>
        <w:rPr>
          <w:rFonts w:hint="eastAsia"/>
        </w:rPr>
        <w:t>（一）能查清产品品牌及型号，且在电子烟交易管理平台上境内销售的，由查获地的省级烟草专卖局按照查获时该产品建议零售价格出具。</w:t>
      </w:r>
    </w:p>
    <w:p w14:paraId="32DE32F4" w14:textId="77777777" w:rsidR="002916E6" w:rsidRDefault="002916E6" w:rsidP="00F01145">
      <w:pPr>
        <w:pStyle w:val="AD"/>
        <w:spacing w:line="276" w:lineRule="auto"/>
      </w:pPr>
    </w:p>
    <w:p w14:paraId="11557B28" w14:textId="77777777" w:rsidR="002916E6" w:rsidRDefault="002916E6" w:rsidP="00F01145">
      <w:pPr>
        <w:pStyle w:val="AD"/>
        <w:spacing w:line="276" w:lineRule="auto"/>
      </w:pPr>
      <w:r>
        <w:rPr>
          <w:rFonts w:hint="eastAsia"/>
        </w:rPr>
        <w:lastRenderedPageBreak/>
        <w:t>（二）能查清产品品牌且该品牌在电子烟交易管理平台上境内销售，但无法查清产品型号或该型号不在电子烟交易管理平台上境内销售的，由查获地的省级烟草专卖局按照查获时该品牌上年度的全国平均建议零售价格出具。</w:t>
      </w:r>
    </w:p>
    <w:p w14:paraId="17627012" w14:textId="77777777" w:rsidR="002916E6" w:rsidRDefault="002916E6" w:rsidP="00F01145">
      <w:pPr>
        <w:pStyle w:val="AD"/>
        <w:spacing w:line="276" w:lineRule="auto"/>
      </w:pPr>
    </w:p>
    <w:p w14:paraId="36722168" w14:textId="77777777" w:rsidR="002916E6" w:rsidRDefault="002916E6" w:rsidP="00F01145">
      <w:pPr>
        <w:pStyle w:val="AD"/>
        <w:spacing w:line="276" w:lineRule="auto"/>
      </w:pPr>
      <w:r>
        <w:rPr>
          <w:rFonts w:hint="eastAsia"/>
        </w:rPr>
        <w:t>（三）其他情形的，由查获地的省级烟草专卖局按照查获时上年度电子烟产品全国平均建议零售价格出具。</w:t>
      </w:r>
    </w:p>
    <w:p w14:paraId="53785577" w14:textId="77777777" w:rsidR="002916E6" w:rsidRDefault="002916E6" w:rsidP="00F01145">
      <w:pPr>
        <w:pStyle w:val="AD"/>
        <w:spacing w:line="276" w:lineRule="auto"/>
      </w:pPr>
    </w:p>
    <w:p w14:paraId="4A73A965" w14:textId="05172B23" w:rsidR="002916E6" w:rsidRDefault="002916E6" w:rsidP="00F01145">
      <w:pPr>
        <w:pStyle w:val="AD"/>
        <w:spacing w:line="276" w:lineRule="auto"/>
      </w:pPr>
      <w:r>
        <w:rPr>
          <w:rFonts w:hint="eastAsia"/>
        </w:rPr>
        <w:t>第六条</w:t>
      </w:r>
      <w:r>
        <w:t xml:space="preserve"> </w:t>
      </w:r>
      <w:r w:rsidR="00C76B75">
        <w:t xml:space="preserve"> </w:t>
      </w:r>
      <w:r>
        <w:rPr>
          <w:rFonts w:hint="eastAsia"/>
        </w:rPr>
        <w:t>第五条第二、三项所称“平均建议零售价格”按烟弹、烟具和一次性电子烟三种类型分别按销量加权计算，在一个包装单元内的烟弹与烟具组合产品按实际烟弹与烟具数量计算。</w:t>
      </w:r>
    </w:p>
    <w:p w14:paraId="5236687F" w14:textId="77777777" w:rsidR="002916E6" w:rsidRDefault="002916E6" w:rsidP="00F01145">
      <w:pPr>
        <w:pStyle w:val="AD"/>
        <w:spacing w:line="276" w:lineRule="auto"/>
      </w:pPr>
    </w:p>
    <w:p w14:paraId="0C53C40E" w14:textId="4AD66691" w:rsidR="002916E6" w:rsidRDefault="002916E6" w:rsidP="00F01145">
      <w:pPr>
        <w:pStyle w:val="AD"/>
        <w:spacing w:line="276" w:lineRule="auto"/>
      </w:pPr>
      <w:r>
        <w:rPr>
          <w:rFonts w:hint="eastAsia"/>
        </w:rPr>
        <w:t>第七条</w:t>
      </w:r>
      <w:r>
        <w:t xml:space="preserve"> </w:t>
      </w:r>
      <w:r w:rsidR="00C76B75">
        <w:t xml:space="preserve"> </w:t>
      </w:r>
      <w:r>
        <w:rPr>
          <w:rFonts w:hint="eastAsia"/>
        </w:rPr>
        <w:t>涉案电子烟用烟碱和雾化物的价格，由查获地的省级烟草专卖局按照查获时上年度全国电子烟用烟碱、雾化物的平均交易价格（按销量加权）出具。</w:t>
      </w:r>
    </w:p>
    <w:p w14:paraId="0495007E" w14:textId="77777777" w:rsidR="002916E6" w:rsidRDefault="002916E6" w:rsidP="00F01145">
      <w:pPr>
        <w:pStyle w:val="AD"/>
        <w:spacing w:line="276" w:lineRule="auto"/>
      </w:pPr>
    </w:p>
    <w:p w14:paraId="6340861D" w14:textId="3D01E27F" w:rsidR="002916E6" w:rsidRDefault="002916E6" w:rsidP="00F01145">
      <w:pPr>
        <w:pStyle w:val="AD"/>
        <w:spacing w:line="276" w:lineRule="auto"/>
      </w:pPr>
      <w:r>
        <w:rPr>
          <w:rFonts w:hint="eastAsia"/>
        </w:rPr>
        <w:t>第八条</w:t>
      </w:r>
      <w:r>
        <w:t xml:space="preserve"> </w:t>
      </w:r>
      <w:r w:rsidR="00C76B75">
        <w:t xml:space="preserve"> </w:t>
      </w:r>
      <w:r>
        <w:rPr>
          <w:rFonts w:hint="eastAsia"/>
        </w:rPr>
        <w:t>国家烟草专卖局在电子烟交易管理平台上建立相关数据统计查询模块，各省级烟草专卖局以此作为各类价格计算出具的依据。</w:t>
      </w:r>
    </w:p>
    <w:p w14:paraId="3D65E40C" w14:textId="77777777" w:rsidR="002916E6" w:rsidRDefault="002916E6" w:rsidP="00F01145">
      <w:pPr>
        <w:pStyle w:val="AD"/>
        <w:spacing w:line="276" w:lineRule="auto"/>
      </w:pPr>
    </w:p>
    <w:p w14:paraId="08EA6E37" w14:textId="1B7880DD" w:rsidR="002916E6" w:rsidRDefault="002916E6" w:rsidP="00F01145">
      <w:pPr>
        <w:pStyle w:val="AD"/>
        <w:spacing w:line="276" w:lineRule="auto"/>
      </w:pPr>
      <w:r>
        <w:rPr>
          <w:rFonts w:hint="eastAsia"/>
        </w:rPr>
        <w:t>第九条</w:t>
      </w:r>
      <w:r>
        <w:t xml:space="preserve"> </w:t>
      </w:r>
      <w:r w:rsidR="00C76B75">
        <w:t xml:space="preserve"> </w:t>
      </w:r>
      <w:r>
        <w:rPr>
          <w:rFonts w:hint="eastAsia"/>
        </w:rPr>
        <w:t>涉案烟叶（含再造烟叶和烟梗）、复烤烟叶、烟丝（含丝、末、粒状）等烟草专卖品的价格出具、收购和销售价格计算等，按照《中华人民共和国烟草专卖法实施条例》、《最高人民法院</w:t>
      </w:r>
      <w:r>
        <w:t xml:space="preserve"> </w:t>
      </w:r>
      <w:r>
        <w:rPr>
          <w:rFonts w:hint="eastAsia"/>
        </w:rPr>
        <w:t>最高人民检察院关于办理非法生产、销售烟草专卖品等刑事案件具体应用法律若干问题的解释》（法释〔</w:t>
      </w:r>
      <w:r>
        <w:t>2010</w:t>
      </w:r>
      <w:r>
        <w:rPr>
          <w:rFonts w:hint="eastAsia"/>
        </w:rPr>
        <w:t>〕</w:t>
      </w:r>
      <w:r>
        <w:t>7</w:t>
      </w:r>
      <w:r>
        <w:rPr>
          <w:rFonts w:hint="eastAsia"/>
        </w:rPr>
        <w:t>号）及《涉案烟草制品价格管理规定》（国烟计〔</w:t>
      </w:r>
      <w:r>
        <w:t>2021</w:t>
      </w:r>
      <w:r>
        <w:rPr>
          <w:rFonts w:hint="eastAsia"/>
        </w:rPr>
        <w:t>〕</w:t>
      </w:r>
      <w:r>
        <w:t>93</w:t>
      </w:r>
      <w:r>
        <w:rPr>
          <w:rFonts w:hint="eastAsia"/>
        </w:rPr>
        <w:t>号）等有关规定执行。</w:t>
      </w:r>
    </w:p>
    <w:p w14:paraId="2492DCE5" w14:textId="77777777" w:rsidR="002916E6" w:rsidRDefault="002916E6" w:rsidP="00F01145">
      <w:pPr>
        <w:pStyle w:val="AD"/>
        <w:spacing w:line="276" w:lineRule="auto"/>
      </w:pPr>
    </w:p>
    <w:p w14:paraId="3130F769" w14:textId="51084AF7" w:rsidR="002916E6" w:rsidRDefault="002916E6" w:rsidP="00F01145">
      <w:pPr>
        <w:pStyle w:val="AD"/>
        <w:spacing w:line="276" w:lineRule="auto"/>
      </w:pPr>
      <w:r>
        <w:rPr>
          <w:rFonts w:hint="eastAsia"/>
        </w:rPr>
        <w:t>第十条</w:t>
      </w:r>
      <w:r>
        <w:t xml:space="preserve"> </w:t>
      </w:r>
      <w:r w:rsidR="00C76B75">
        <w:t xml:space="preserve"> </w:t>
      </w:r>
      <w:r>
        <w:rPr>
          <w:rFonts w:hint="eastAsia"/>
        </w:rPr>
        <w:t>涉案其他新型烟草制品价格管理参照本细则执行。</w:t>
      </w:r>
    </w:p>
    <w:p w14:paraId="3E905627" w14:textId="77777777" w:rsidR="002916E6" w:rsidRDefault="002916E6" w:rsidP="00F01145">
      <w:pPr>
        <w:pStyle w:val="AD"/>
        <w:spacing w:line="276" w:lineRule="auto"/>
      </w:pPr>
    </w:p>
    <w:p w14:paraId="4245FC4C" w14:textId="5A796FF2" w:rsidR="002916E6" w:rsidRDefault="002916E6" w:rsidP="00F01145">
      <w:pPr>
        <w:pStyle w:val="AD"/>
        <w:spacing w:line="276" w:lineRule="auto"/>
      </w:pPr>
      <w:r>
        <w:rPr>
          <w:rFonts w:hint="eastAsia"/>
        </w:rPr>
        <w:t>第十一条</w:t>
      </w:r>
      <w:r>
        <w:t xml:space="preserve"> </w:t>
      </w:r>
      <w:r w:rsidR="00C76B75">
        <w:t xml:space="preserve"> </w:t>
      </w:r>
      <w:r>
        <w:rPr>
          <w:rFonts w:hint="eastAsia"/>
        </w:rPr>
        <w:t>本细则由国家烟草专卖局负责解释。</w:t>
      </w:r>
    </w:p>
    <w:p w14:paraId="11ECB931" w14:textId="77777777" w:rsidR="002916E6" w:rsidRDefault="002916E6" w:rsidP="00F01145">
      <w:pPr>
        <w:pStyle w:val="AD"/>
        <w:spacing w:line="276" w:lineRule="auto"/>
      </w:pPr>
    </w:p>
    <w:p w14:paraId="54F65AA0" w14:textId="6FEF2FED" w:rsidR="00B15193" w:rsidRDefault="002916E6" w:rsidP="00F01145">
      <w:pPr>
        <w:pStyle w:val="AD"/>
        <w:spacing w:line="276" w:lineRule="auto"/>
      </w:pPr>
      <w:r>
        <w:rPr>
          <w:rFonts w:hint="eastAsia"/>
        </w:rPr>
        <w:t>第十二条</w:t>
      </w:r>
      <w:r>
        <w:t xml:space="preserve"> </w:t>
      </w:r>
      <w:r w:rsidR="00C76B75">
        <w:t xml:space="preserve"> </w:t>
      </w:r>
      <w:r>
        <w:rPr>
          <w:rFonts w:hint="eastAsia"/>
        </w:rPr>
        <w:t>本细则自印发之日起施行。</w:t>
      </w:r>
    </w:p>
    <w:p w14:paraId="3757110D" w14:textId="05EA1AA5" w:rsidR="00F41F54" w:rsidRDefault="00F41F54" w:rsidP="00F01145">
      <w:pPr>
        <w:pStyle w:val="AD"/>
        <w:spacing w:line="276" w:lineRule="auto"/>
      </w:pPr>
    </w:p>
    <w:p w14:paraId="010CD7DB" w14:textId="77777777" w:rsidR="00C76B75" w:rsidRDefault="00C76B75" w:rsidP="00F01145">
      <w:pPr>
        <w:pStyle w:val="AD"/>
        <w:spacing w:line="276" w:lineRule="auto"/>
        <w:rPr>
          <w:rFonts w:hint="eastAsia"/>
        </w:rPr>
      </w:pPr>
    </w:p>
    <w:p w14:paraId="13EC51CE" w14:textId="77777777" w:rsidR="00C01EF7" w:rsidRDefault="00F41F54" w:rsidP="00F01145">
      <w:pPr>
        <w:pStyle w:val="AD"/>
        <w:spacing w:line="276" w:lineRule="auto"/>
      </w:pPr>
      <w:r>
        <w:rPr>
          <w:rFonts w:hint="eastAsia"/>
        </w:rPr>
        <w:t>信息来源：</w:t>
      </w:r>
    </w:p>
    <w:p w14:paraId="09F08F4B" w14:textId="375A1002" w:rsidR="00F41F54" w:rsidRDefault="00000000" w:rsidP="00F01145">
      <w:pPr>
        <w:pStyle w:val="AD"/>
        <w:spacing w:line="276" w:lineRule="auto"/>
      </w:pPr>
      <w:hyperlink r:id="rId6" w:history="1">
        <w:r w:rsidR="00C01EF7" w:rsidRPr="00F228DD">
          <w:rPr>
            <w:rStyle w:val="a7"/>
          </w:rPr>
          <w:t>http://www.tobacco.gov.cn/gjyc/zhgl/202212/4f470a2409024464ad82bce11dbff518.shtml</w:t>
        </w:r>
      </w:hyperlink>
    </w:p>
    <w:p w14:paraId="7FD150A0" w14:textId="77777777" w:rsidR="00C01EF7" w:rsidRPr="00C01EF7" w:rsidRDefault="00C01EF7" w:rsidP="00F01145">
      <w:pPr>
        <w:pStyle w:val="AD"/>
        <w:spacing w:line="276" w:lineRule="auto"/>
      </w:pPr>
    </w:p>
    <w:sectPr w:rsidR="00C01EF7" w:rsidRPr="00C01EF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62D74" w14:textId="77777777" w:rsidR="00613D4F" w:rsidRDefault="00613D4F" w:rsidP="00C20A6A">
      <w:pPr>
        <w:spacing w:line="240" w:lineRule="auto"/>
      </w:pPr>
      <w:r>
        <w:separator/>
      </w:r>
    </w:p>
  </w:endnote>
  <w:endnote w:type="continuationSeparator" w:id="0">
    <w:p w14:paraId="45C3B44B" w14:textId="77777777" w:rsidR="00613D4F" w:rsidRDefault="00613D4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1F8A" w14:textId="77777777" w:rsidR="00613D4F" w:rsidRDefault="00613D4F" w:rsidP="00C20A6A">
      <w:pPr>
        <w:spacing w:line="240" w:lineRule="auto"/>
      </w:pPr>
      <w:r>
        <w:separator/>
      </w:r>
    </w:p>
  </w:footnote>
  <w:footnote w:type="continuationSeparator" w:id="0">
    <w:p w14:paraId="337660D7" w14:textId="77777777" w:rsidR="00613D4F" w:rsidRDefault="00613D4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16E6"/>
    <w:rsid w:val="000F4C6A"/>
    <w:rsid w:val="00176A25"/>
    <w:rsid w:val="001C4C6F"/>
    <w:rsid w:val="002706A0"/>
    <w:rsid w:val="002916E6"/>
    <w:rsid w:val="002C1D1A"/>
    <w:rsid w:val="003D27E2"/>
    <w:rsid w:val="00580175"/>
    <w:rsid w:val="005F7C76"/>
    <w:rsid w:val="00613D4F"/>
    <w:rsid w:val="006D1220"/>
    <w:rsid w:val="007D7BDB"/>
    <w:rsid w:val="00A548E7"/>
    <w:rsid w:val="00B15193"/>
    <w:rsid w:val="00B731F1"/>
    <w:rsid w:val="00C01EF7"/>
    <w:rsid w:val="00C20A6A"/>
    <w:rsid w:val="00C22624"/>
    <w:rsid w:val="00C76B75"/>
    <w:rsid w:val="00D02718"/>
    <w:rsid w:val="00EC2127"/>
    <w:rsid w:val="00F01145"/>
    <w:rsid w:val="00F41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F23AF"/>
  <w15:chartTrackingRefBased/>
  <w15:docId w15:val="{7CEC0B69-CE98-41A7-B695-4FD205DB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01EF7"/>
    <w:rPr>
      <w:color w:val="0000FF" w:themeColor="hyperlink"/>
      <w:u w:val="single"/>
    </w:rPr>
  </w:style>
  <w:style w:type="character" w:styleId="a8">
    <w:name w:val="Unresolved Mention"/>
    <w:basedOn w:val="a0"/>
    <w:uiPriority w:val="99"/>
    <w:semiHidden/>
    <w:unhideWhenUsed/>
    <w:rsid w:val="00C01E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bacco.gov.cn/gjyc/zhgl/202212/4f470a2409024464ad82bce11dbff51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219</Words>
  <Characters>1249</Characters>
  <Application>Microsoft Office Word</Application>
  <DocSecurity>0</DocSecurity>
  <Lines>10</Lines>
  <Paragraphs>2</Paragraphs>
  <ScaleCrop>false</ScaleCrop>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2022-12-22T10:14:00Z</dcterms:created>
  <dcterms:modified xsi:type="dcterms:W3CDTF">2022-12-23T05:43:00Z</dcterms:modified>
</cp:coreProperties>
</file>