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D8FF" w14:textId="77777777" w:rsidR="00B474D5" w:rsidRPr="00B474D5" w:rsidRDefault="00B474D5" w:rsidP="00B474D5">
      <w:pPr>
        <w:pStyle w:val="AD"/>
        <w:spacing w:line="276" w:lineRule="auto"/>
        <w:jc w:val="center"/>
        <w:rPr>
          <w:rFonts w:hint="eastAsia"/>
          <w:b/>
          <w:bCs/>
          <w:color w:val="E36C0A" w:themeColor="accent6" w:themeShade="BF"/>
          <w:sz w:val="32"/>
          <w:szCs w:val="32"/>
        </w:rPr>
      </w:pPr>
      <w:bookmarkStart w:id="0" w:name="_GoBack"/>
      <w:bookmarkEnd w:id="0"/>
      <w:r w:rsidRPr="00B474D5">
        <w:rPr>
          <w:rFonts w:hint="eastAsia"/>
          <w:b/>
          <w:bCs/>
          <w:color w:val="E36C0A" w:themeColor="accent6" w:themeShade="BF"/>
          <w:sz w:val="32"/>
          <w:szCs w:val="32"/>
        </w:rPr>
        <w:t>关于完善工业用地供应政策支持实体经济发展的通知</w:t>
      </w:r>
    </w:p>
    <w:p w14:paraId="526B03C0" w14:textId="77777777" w:rsidR="00B474D5" w:rsidRDefault="00B474D5" w:rsidP="00B474D5">
      <w:pPr>
        <w:pStyle w:val="AD"/>
        <w:spacing w:line="276" w:lineRule="auto"/>
      </w:pPr>
    </w:p>
    <w:p w14:paraId="68C662EF" w14:textId="18A022FD" w:rsidR="00B474D5" w:rsidRDefault="00B474D5" w:rsidP="00B474D5">
      <w:pPr>
        <w:pStyle w:val="AD"/>
        <w:spacing w:line="276" w:lineRule="auto"/>
        <w:rPr>
          <w:rFonts w:hint="eastAsia"/>
        </w:rPr>
      </w:pPr>
      <w:r>
        <w:rPr>
          <w:rFonts w:hint="eastAsia"/>
        </w:rPr>
        <w:t>各省、自治区、直辖市及计划单列市自然资源主管部门，新疆生产建设兵团自然资源局：</w:t>
      </w:r>
    </w:p>
    <w:p w14:paraId="1DCE62C9" w14:textId="77777777" w:rsidR="00B474D5" w:rsidRDefault="00B474D5" w:rsidP="00B474D5">
      <w:pPr>
        <w:pStyle w:val="AD"/>
        <w:spacing w:line="276" w:lineRule="auto"/>
        <w:rPr>
          <w:rFonts w:hint="eastAsia"/>
        </w:rPr>
      </w:pPr>
      <w:r>
        <w:rPr>
          <w:rFonts w:hint="eastAsia"/>
        </w:rPr>
        <w:t xml:space="preserve">　　为贯彻落实国务院扎实稳住经济一揽子政策措施的有关要求，加强和改进国有建设用地中工业用地的供应管理，推进工业用地供应由出让为主向租赁、出让并重转变，强化土地要素保障，降低用地成本，促进工业经济平稳增长，现就有关问题通知如下：</w:t>
      </w:r>
    </w:p>
    <w:p w14:paraId="11B08B72" w14:textId="77777777" w:rsidR="00B474D5" w:rsidRDefault="00B474D5" w:rsidP="00B474D5">
      <w:pPr>
        <w:pStyle w:val="AD"/>
        <w:spacing w:line="276" w:lineRule="auto"/>
        <w:rPr>
          <w:rFonts w:hint="eastAsia"/>
        </w:rPr>
      </w:pPr>
      <w:r>
        <w:rPr>
          <w:rFonts w:hint="eastAsia"/>
        </w:rPr>
        <w:t xml:space="preserve">　　一、健全工业用地多元化供应体系</w:t>
      </w:r>
    </w:p>
    <w:p w14:paraId="3CE24066" w14:textId="77777777" w:rsidR="00B474D5" w:rsidRDefault="00B474D5" w:rsidP="00B474D5">
      <w:pPr>
        <w:pStyle w:val="AD"/>
        <w:spacing w:line="276" w:lineRule="auto"/>
        <w:rPr>
          <w:rFonts w:hint="eastAsia"/>
        </w:rPr>
      </w:pPr>
      <w:r>
        <w:rPr>
          <w:rFonts w:hint="eastAsia"/>
        </w:rPr>
        <w:t xml:space="preserve">　　健全工业用地长期租赁、先租后让、弹性年期出让等供应体系，支持工业企业选择适宜的用地方式。</w:t>
      </w:r>
    </w:p>
    <w:p w14:paraId="4ECD546F" w14:textId="77777777" w:rsidR="00B474D5" w:rsidRDefault="00B474D5" w:rsidP="00B474D5">
      <w:pPr>
        <w:pStyle w:val="AD"/>
        <w:spacing w:line="276" w:lineRule="auto"/>
        <w:rPr>
          <w:rFonts w:hint="eastAsia"/>
        </w:rPr>
      </w:pPr>
      <w:r>
        <w:rPr>
          <w:rFonts w:hint="eastAsia"/>
        </w:rPr>
        <w:t xml:space="preserve">　　（一）长期租赁，是指整宗土地在整个合同期内均以租赁方式使用，并由土地使用权人按合同约定支付年租金的供应方式。长期租赁期限一般不低于</w:t>
      </w:r>
      <w:r>
        <w:rPr>
          <w:rFonts w:hint="eastAsia"/>
        </w:rPr>
        <w:t>5</w:t>
      </w:r>
      <w:r>
        <w:rPr>
          <w:rFonts w:hint="eastAsia"/>
        </w:rPr>
        <w:t>年，不超过</w:t>
      </w:r>
      <w:r>
        <w:rPr>
          <w:rFonts w:hint="eastAsia"/>
        </w:rPr>
        <w:t>20</w:t>
      </w:r>
      <w:r>
        <w:rPr>
          <w:rFonts w:hint="eastAsia"/>
        </w:rPr>
        <w:t>年。</w:t>
      </w:r>
    </w:p>
    <w:p w14:paraId="362CF5D3" w14:textId="77777777" w:rsidR="00B474D5" w:rsidRDefault="00B474D5" w:rsidP="00B474D5">
      <w:pPr>
        <w:pStyle w:val="AD"/>
        <w:spacing w:line="276" w:lineRule="auto"/>
        <w:rPr>
          <w:rFonts w:hint="eastAsia"/>
        </w:rPr>
      </w:pPr>
      <w:r>
        <w:rPr>
          <w:rFonts w:hint="eastAsia"/>
        </w:rPr>
        <w:t xml:space="preserve">　　（二）先租后让，是指供地方供地时设定一定期限的租赁期，按照公开程序确定国有建设用地使用权人，先以租赁方式提供用地，承租方投资产业用地项目达到约定条件后再转为出让的供应方式。先租后让租赁期一般不超过</w:t>
      </w:r>
      <w:r>
        <w:rPr>
          <w:rFonts w:hint="eastAsia"/>
        </w:rPr>
        <w:t>5</w:t>
      </w:r>
      <w:r>
        <w:rPr>
          <w:rFonts w:hint="eastAsia"/>
        </w:rPr>
        <w:t>年。</w:t>
      </w:r>
    </w:p>
    <w:p w14:paraId="75DF6EC6" w14:textId="77777777" w:rsidR="00B474D5" w:rsidRDefault="00B474D5" w:rsidP="00B474D5">
      <w:pPr>
        <w:pStyle w:val="AD"/>
        <w:spacing w:line="276" w:lineRule="auto"/>
        <w:rPr>
          <w:rFonts w:hint="eastAsia"/>
        </w:rPr>
      </w:pPr>
      <w:r>
        <w:rPr>
          <w:rFonts w:hint="eastAsia"/>
        </w:rPr>
        <w:t xml:space="preserve">　　（三）弹性年期出让，是指整宗土地以低于工业用地法定出让最高年限</w:t>
      </w:r>
      <w:r>
        <w:rPr>
          <w:rFonts w:hint="eastAsia"/>
        </w:rPr>
        <w:t>50</w:t>
      </w:r>
      <w:r>
        <w:rPr>
          <w:rFonts w:hint="eastAsia"/>
        </w:rPr>
        <w:t>年出让的供应方式。</w:t>
      </w:r>
    </w:p>
    <w:p w14:paraId="17A99AF1" w14:textId="77777777" w:rsidR="00B474D5" w:rsidRDefault="00B474D5" w:rsidP="00B474D5">
      <w:pPr>
        <w:pStyle w:val="AD"/>
        <w:spacing w:line="276" w:lineRule="auto"/>
        <w:rPr>
          <w:rFonts w:hint="eastAsia"/>
        </w:rPr>
      </w:pPr>
      <w:r>
        <w:rPr>
          <w:rFonts w:hint="eastAsia"/>
        </w:rPr>
        <w:t xml:space="preserve">　　二、优化土地供应程序</w:t>
      </w:r>
    </w:p>
    <w:p w14:paraId="60A9D083" w14:textId="77777777" w:rsidR="00B474D5" w:rsidRDefault="00B474D5" w:rsidP="00B474D5">
      <w:pPr>
        <w:pStyle w:val="AD"/>
        <w:spacing w:line="276" w:lineRule="auto"/>
        <w:rPr>
          <w:rFonts w:hint="eastAsia"/>
        </w:rPr>
      </w:pPr>
      <w:r>
        <w:rPr>
          <w:rFonts w:hint="eastAsia"/>
        </w:rPr>
        <w:t xml:space="preserve">　　在确保土地市场公平公正公开的前提下，推进工业用地</w:t>
      </w:r>
      <w:proofErr w:type="gramStart"/>
      <w:r>
        <w:rPr>
          <w:rFonts w:hint="eastAsia"/>
        </w:rPr>
        <w:t>带条件</w:t>
      </w:r>
      <w:proofErr w:type="gramEnd"/>
      <w:r>
        <w:rPr>
          <w:rFonts w:hint="eastAsia"/>
        </w:rPr>
        <w:t>招标拍卖挂牌出让（租赁），各地可将产业类型、生产技术、节能环保等产业准入要求纳入供地条件。</w:t>
      </w:r>
    </w:p>
    <w:p w14:paraId="6DB11DEF" w14:textId="77777777" w:rsidR="00B474D5" w:rsidRDefault="00B474D5" w:rsidP="00B474D5">
      <w:pPr>
        <w:pStyle w:val="AD"/>
        <w:spacing w:line="276" w:lineRule="auto"/>
        <w:rPr>
          <w:rFonts w:hint="eastAsia"/>
        </w:rPr>
      </w:pPr>
      <w:r>
        <w:rPr>
          <w:rFonts w:hint="eastAsia"/>
        </w:rPr>
        <w:t xml:space="preserve">　　（一）采取长期租赁的，实行挂牌方式。在</w:t>
      </w:r>
      <w:r>
        <w:rPr>
          <w:rFonts w:hint="eastAsia"/>
        </w:rPr>
        <w:t>20</w:t>
      </w:r>
      <w:r>
        <w:rPr>
          <w:rFonts w:hint="eastAsia"/>
        </w:rPr>
        <w:t>天公告期结束时只有一个申请人符合竞买资格和</w:t>
      </w:r>
      <w:proofErr w:type="gramStart"/>
      <w:r>
        <w:rPr>
          <w:rFonts w:hint="eastAsia"/>
        </w:rPr>
        <w:t>竞得</w:t>
      </w:r>
      <w:proofErr w:type="gramEnd"/>
      <w:r>
        <w:rPr>
          <w:rFonts w:hint="eastAsia"/>
        </w:rPr>
        <w:t>条件的，直接确定其为竞得人；申请人多于一个的，通过竞价确定竞得人。</w:t>
      </w:r>
    </w:p>
    <w:p w14:paraId="3ED64CB1" w14:textId="77777777" w:rsidR="00B474D5" w:rsidRDefault="00B474D5" w:rsidP="00B474D5">
      <w:pPr>
        <w:pStyle w:val="AD"/>
        <w:spacing w:line="276" w:lineRule="auto"/>
        <w:rPr>
          <w:rFonts w:hint="eastAsia"/>
        </w:rPr>
      </w:pPr>
      <w:r>
        <w:rPr>
          <w:rFonts w:hint="eastAsia"/>
        </w:rPr>
        <w:t xml:space="preserve">　　（二）采取先租后让的，租赁和出让一并进行招标拍卖挂牌。市、县自然资源主管部门应明晰租赁期限、租赁转出让的条件，以及租赁阶段解除合同时地上建筑物和其他附着物的补偿标准，一并向社会公告。参照招标拍卖挂牌出让程序确定竞得人，签订国有建设用地租赁合同。租赁期届满符合转出让条件后，与土地使用者直接签订国有建设用地使用权出让合同。</w:t>
      </w:r>
    </w:p>
    <w:p w14:paraId="3E48E74F" w14:textId="77777777" w:rsidR="00B474D5" w:rsidRDefault="00B474D5" w:rsidP="00B474D5">
      <w:pPr>
        <w:pStyle w:val="AD"/>
        <w:spacing w:line="276" w:lineRule="auto"/>
        <w:rPr>
          <w:rFonts w:hint="eastAsia"/>
        </w:rPr>
      </w:pPr>
      <w:r>
        <w:rPr>
          <w:rFonts w:hint="eastAsia"/>
        </w:rPr>
        <w:t xml:space="preserve">　　（三）采取弹性年期出让的，按照招标拍卖挂牌出让的部门规章和操作规范实施。</w:t>
      </w:r>
    </w:p>
    <w:p w14:paraId="0DDEA6B5" w14:textId="77777777" w:rsidR="00B474D5" w:rsidRDefault="00B474D5" w:rsidP="00B474D5">
      <w:pPr>
        <w:pStyle w:val="AD"/>
        <w:spacing w:line="276" w:lineRule="auto"/>
        <w:rPr>
          <w:rFonts w:hint="eastAsia"/>
        </w:rPr>
      </w:pPr>
      <w:r>
        <w:rPr>
          <w:rFonts w:hint="eastAsia"/>
        </w:rPr>
        <w:t xml:space="preserve">　　国有建设用地使用权人按照合同约定依法缴纳土地租金或全部土地出让金后，可申请办理不动产首次登记。其中，采用租赁方式供应的，在办理首次、转移、变更、抵押等登记时，应审查截至登记时点土地租金是否已缴齐，并收取相关缴纳凭证。</w:t>
      </w:r>
    </w:p>
    <w:p w14:paraId="31AE1B89" w14:textId="77777777" w:rsidR="00B474D5" w:rsidRDefault="00B474D5" w:rsidP="00B474D5">
      <w:pPr>
        <w:pStyle w:val="AD"/>
        <w:spacing w:line="276" w:lineRule="auto"/>
        <w:rPr>
          <w:rFonts w:hint="eastAsia"/>
        </w:rPr>
      </w:pPr>
      <w:r>
        <w:rPr>
          <w:rFonts w:hint="eastAsia"/>
        </w:rPr>
        <w:t xml:space="preserve">　　三、明晰土地使用权权能</w:t>
      </w:r>
    </w:p>
    <w:p w14:paraId="7F632FEE" w14:textId="77777777" w:rsidR="00B474D5" w:rsidRDefault="00B474D5" w:rsidP="00B474D5">
      <w:pPr>
        <w:pStyle w:val="AD"/>
        <w:spacing w:line="276" w:lineRule="auto"/>
        <w:rPr>
          <w:rFonts w:hint="eastAsia"/>
        </w:rPr>
      </w:pPr>
      <w:r>
        <w:rPr>
          <w:rFonts w:hint="eastAsia"/>
        </w:rPr>
        <w:t xml:space="preserve">　　（一）以租赁方式供应的，承租人在按规定支付土地租金并完成开发建设后，经市、县自然资源主管部门同意或根据合同约定，可将依法登记的国有建设用地使用权转让、转租或抵押。转让的，原承租人退出，租赁合同约定的权利义务同时转让给受让人，由市、县自然资源主管部门与受让人重新签订国有土地租赁合同</w:t>
      </w:r>
      <w:r>
        <w:rPr>
          <w:rFonts w:hint="eastAsia"/>
        </w:rPr>
        <w:t>;</w:t>
      </w:r>
      <w:r>
        <w:rPr>
          <w:rFonts w:hint="eastAsia"/>
        </w:rPr>
        <w:t>转租的，承租人与第三人建立附加租赁关系，第三人应履行租赁合同约定的权利义务；地上建筑物、其他附着物抵押的，承租的国有建设用地使用权一并抵押，抵押权实现时，承租的国有建设用地使用权同时转让。在工业用地最高出让年期内，租赁期届满，在满足合同约定续租条件的情况下，国有建设用地使用权人申请续租应予以批准，续期租金应在初期合同中约定。</w:t>
      </w:r>
    </w:p>
    <w:p w14:paraId="1B32C383" w14:textId="77777777" w:rsidR="00B474D5" w:rsidRDefault="00B474D5" w:rsidP="00B474D5">
      <w:pPr>
        <w:pStyle w:val="AD"/>
        <w:spacing w:line="276" w:lineRule="auto"/>
        <w:rPr>
          <w:rFonts w:hint="eastAsia"/>
        </w:rPr>
      </w:pPr>
      <w:r>
        <w:rPr>
          <w:rFonts w:hint="eastAsia"/>
        </w:rPr>
        <w:t xml:space="preserve">　　（二）以先租后让方式供应的，租赁期内承租的国有建设用地使用权在完成开发建设前不</w:t>
      </w:r>
      <w:r>
        <w:rPr>
          <w:rFonts w:hint="eastAsia"/>
        </w:rPr>
        <w:lastRenderedPageBreak/>
        <w:t>得转让、转租、抵押。转出让后，享有出让国有建设用地使用权权能。</w:t>
      </w:r>
    </w:p>
    <w:p w14:paraId="05832A6C" w14:textId="77777777" w:rsidR="00B474D5" w:rsidRDefault="00B474D5" w:rsidP="00B474D5">
      <w:pPr>
        <w:pStyle w:val="AD"/>
        <w:spacing w:line="276" w:lineRule="auto"/>
        <w:rPr>
          <w:rFonts w:hint="eastAsia"/>
        </w:rPr>
      </w:pPr>
      <w:r>
        <w:rPr>
          <w:rFonts w:hint="eastAsia"/>
        </w:rPr>
        <w:t xml:space="preserve">　　（三）以出让方式供应的，除合同另有约定外，国有建设用地使用权可以依法转让、出租和抵押。出让年期届满，符合法定及合同约定续期条件的，国有建设用地使用权人申请续期，应予以批准。</w:t>
      </w:r>
    </w:p>
    <w:p w14:paraId="13FF1CB2" w14:textId="77777777" w:rsidR="00B474D5" w:rsidRDefault="00B474D5" w:rsidP="00B474D5">
      <w:pPr>
        <w:pStyle w:val="AD"/>
        <w:spacing w:line="276" w:lineRule="auto"/>
        <w:rPr>
          <w:rFonts w:hint="eastAsia"/>
        </w:rPr>
      </w:pPr>
      <w:r>
        <w:rPr>
          <w:rFonts w:hint="eastAsia"/>
        </w:rPr>
        <w:t xml:space="preserve">　　四、实行地价鼓励支持政策</w:t>
      </w:r>
    </w:p>
    <w:p w14:paraId="3CFC99A1" w14:textId="77777777" w:rsidR="00B474D5" w:rsidRDefault="00B474D5" w:rsidP="00B474D5">
      <w:pPr>
        <w:pStyle w:val="AD"/>
        <w:spacing w:line="276" w:lineRule="auto"/>
        <w:rPr>
          <w:rFonts w:hint="eastAsia"/>
        </w:rPr>
      </w:pPr>
      <w:r>
        <w:rPr>
          <w:rFonts w:hint="eastAsia"/>
        </w:rPr>
        <w:t xml:space="preserve">　　在不同供应方式折算到最高年</w:t>
      </w:r>
      <w:proofErr w:type="gramStart"/>
      <w:r>
        <w:rPr>
          <w:rFonts w:hint="eastAsia"/>
        </w:rPr>
        <w:t>期土地</w:t>
      </w:r>
      <w:proofErr w:type="gramEnd"/>
      <w:r>
        <w:rPr>
          <w:rFonts w:hint="eastAsia"/>
        </w:rPr>
        <w:t>价格基本均衡的前提下，明确价格（租金）标底。工业用地的价格（租金）不得低于工业用地的成本价（租）。工业用地的成本价（租）可以采取片区内不同用途土地面积或土地价格占比分摊计算。</w:t>
      </w:r>
    </w:p>
    <w:p w14:paraId="419E7B79" w14:textId="77777777" w:rsidR="00B474D5" w:rsidRDefault="00B474D5" w:rsidP="00B474D5">
      <w:pPr>
        <w:pStyle w:val="AD"/>
        <w:spacing w:line="276" w:lineRule="auto"/>
        <w:rPr>
          <w:rFonts w:hint="eastAsia"/>
        </w:rPr>
      </w:pPr>
      <w:r>
        <w:rPr>
          <w:rFonts w:hint="eastAsia"/>
        </w:rPr>
        <w:t xml:space="preserve">　　（一）采取长期租赁的，租赁期间租金不调整的，可按不低于该宗地</w:t>
      </w:r>
      <w:r>
        <w:rPr>
          <w:rFonts w:hint="eastAsia"/>
        </w:rPr>
        <w:t>50</w:t>
      </w:r>
      <w:r>
        <w:rPr>
          <w:rFonts w:hint="eastAsia"/>
        </w:rPr>
        <w:t>年工业用地出让评估价格的</w:t>
      </w:r>
      <w:r>
        <w:rPr>
          <w:rFonts w:hint="eastAsia"/>
        </w:rPr>
        <w:t>2%</w:t>
      </w:r>
      <w:r>
        <w:rPr>
          <w:rFonts w:hint="eastAsia"/>
        </w:rPr>
        <w:t>确定年租金标底；租金调整的，可按该宗地</w:t>
      </w:r>
      <w:r>
        <w:rPr>
          <w:rFonts w:hint="eastAsia"/>
        </w:rPr>
        <w:t>50</w:t>
      </w:r>
      <w:r>
        <w:rPr>
          <w:rFonts w:hint="eastAsia"/>
        </w:rPr>
        <w:t>年工业用地出让评估价格的</w:t>
      </w:r>
      <w:r>
        <w:rPr>
          <w:rFonts w:hint="eastAsia"/>
        </w:rPr>
        <w:t>2%</w:t>
      </w:r>
      <w:r>
        <w:rPr>
          <w:rFonts w:hint="eastAsia"/>
        </w:rPr>
        <w:t>确定首期年租金标底；租金调整周期不得低于</w:t>
      </w:r>
      <w:r>
        <w:rPr>
          <w:rFonts w:hint="eastAsia"/>
        </w:rPr>
        <w:t>5</w:t>
      </w:r>
      <w:r>
        <w:rPr>
          <w:rFonts w:hint="eastAsia"/>
        </w:rPr>
        <w:t>年，以后各期租金标准应依据届时土地评估价格或土地价格指数确定，但涨幅不得高于上期租金的</w:t>
      </w:r>
      <w:r>
        <w:rPr>
          <w:rFonts w:hint="eastAsia"/>
        </w:rPr>
        <w:t>10%</w:t>
      </w:r>
      <w:r>
        <w:rPr>
          <w:rFonts w:hint="eastAsia"/>
        </w:rPr>
        <w:t>。</w:t>
      </w:r>
    </w:p>
    <w:p w14:paraId="77F39D75" w14:textId="77777777" w:rsidR="00B474D5" w:rsidRDefault="00B474D5" w:rsidP="00B474D5">
      <w:pPr>
        <w:pStyle w:val="AD"/>
        <w:spacing w:line="276" w:lineRule="auto"/>
        <w:rPr>
          <w:rFonts w:hint="eastAsia"/>
        </w:rPr>
      </w:pPr>
      <w:r>
        <w:rPr>
          <w:rFonts w:hint="eastAsia"/>
        </w:rPr>
        <w:t xml:space="preserve">　　（二）采取先租后让的，租赁期租金标准按照租赁期与最高年期的比值进行年期修正确定。转出让后，已交租金冲抵出让价款。</w:t>
      </w:r>
      <w:proofErr w:type="gramStart"/>
      <w:r>
        <w:rPr>
          <w:rFonts w:hint="eastAsia"/>
        </w:rPr>
        <w:t>租让年</w:t>
      </w:r>
      <w:proofErr w:type="gramEnd"/>
      <w:r>
        <w:rPr>
          <w:rFonts w:hint="eastAsia"/>
        </w:rPr>
        <w:t>期之和不超过法定最高出让年限。鼓励在出让阶段实行弹性年期。</w:t>
      </w:r>
    </w:p>
    <w:p w14:paraId="57EC7CCD" w14:textId="77777777" w:rsidR="00B474D5" w:rsidRDefault="00B474D5" w:rsidP="00B474D5">
      <w:pPr>
        <w:pStyle w:val="AD"/>
        <w:spacing w:line="276" w:lineRule="auto"/>
        <w:rPr>
          <w:rFonts w:hint="eastAsia"/>
        </w:rPr>
      </w:pPr>
      <w:r>
        <w:rPr>
          <w:rFonts w:hint="eastAsia"/>
        </w:rPr>
        <w:t xml:space="preserve">　　（三）采取弹性年期出让的，出让价格标底按不低于弹性年期与最高年期的比值进行年期修正。</w:t>
      </w:r>
    </w:p>
    <w:p w14:paraId="267CA282" w14:textId="77777777" w:rsidR="00B474D5" w:rsidRDefault="00B474D5" w:rsidP="00B474D5">
      <w:pPr>
        <w:pStyle w:val="AD"/>
        <w:spacing w:line="276" w:lineRule="auto"/>
        <w:rPr>
          <w:rFonts w:hint="eastAsia"/>
        </w:rPr>
      </w:pPr>
      <w:r>
        <w:rPr>
          <w:rFonts w:hint="eastAsia"/>
        </w:rPr>
        <w:t xml:space="preserve">　　已取得国有建设用地使用权的土地，在符合规划、不改变用途的前提下，提高土地利用率和增加容积率的，不再增收土地价款。</w:t>
      </w:r>
    </w:p>
    <w:p w14:paraId="16732D7F" w14:textId="77777777" w:rsidR="00B474D5" w:rsidRDefault="00B474D5" w:rsidP="00B474D5">
      <w:pPr>
        <w:pStyle w:val="AD"/>
        <w:spacing w:line="276" w:lineRule="auto"/>
        <w:rPr>
          <w:rFonts w:hint="eastAsia"/>
        </w:rPr>
      </w:pPr>
      <w:r>
        <w:rPr>
          <w:rFonts w:hint="eastAsia"/>
        </w:rPr>
        <w:t xml:space="preserve">　　五、严格用途转换</w:t>
      </w:r>
    </w:p>
    <w:p w14:paraId="5BA51390" w14:textId="77777777" w:rsidR="00B474D5" w:rsidRDefault="00B474D5" w:rsidP="00B474D5">
      <w:pPr>
        <w:pStyle w:val="AD"/>
        <w:spacing w:line="276" w:lineRule="auto"/>
        <w:rPr>
          <w:rFonts w:hint="eastAsia"/>
        </w:rPr>
      </w:pPr>
      <w:r>
        <w:rPr>
          <w:rFonts w:hint="eastAsia"/>
        </w:rPr>
        <w:t xml:space="preserve">　　在国土空间规划中划定工业用地控制线，明晰工业用地用途转换负面清单，稳定工业用地总量。对于工业用地内部的调整，或调整为研发设计、产业孵化、产品中试等用地的，各省级自然资源主管部门要研究制定允许、兼容、禁止布局的产业类型转换目录和转换规则，推进工业用地提质增效。</w:t>
      </w:r>
    </w:p>
    <w:p w14:paraId="66EC5E84" w14:textId="77777777" w:rsidR="00B474D5" w:rsidRDefault="00B474D5" w:rsidP="00B474D5">
      <w:pPr>
        <w:pStyle w:val="AD"/>
        <w:spacing w:line="276" w:lineRule="auto"/>
        <w:rPr>
          <w:rFonts w:hint="eastAsia"/>
        </w:rPr>
      </w:pPr>
      <w:r>
        <w:rPr>
          <w:rFonts w:hint="eastAsia"/>
        </w:rPr>
        <w:t xml:space="preserve">　　六、加强履约监管</w:t>
      </w:r>
    </w:p>
    <w:p w14:paraId="14F2DAAD" w14:textId="77777777" w:rsidR="00B474D5" w:rsidRDefault="00B474D5" w:rsidP="00B474D5">
      <w:pPr>
        <w:pStyle w:val="AD"/>
        <w:spacing w:line="276" w:lineRule="auto"/>
        <w:rPr>
          <w:rFonts w:hint="eastAsia"/>
        </w:rPr>
      </w:pPr>
      <w:r>
        <w:rPr>
          <w:rFonts w:hint="eastAsia"/>
        </w:rPr>
        <w:t xml:space="preserve">　　市、县自然资源主管部门应将产业准入要求与土地用途、规划条件、节约集约要求等一并纳入供地公告，对后期监管有转让（含分割转让）、转租或股权转让限制要求的，也应一并向社会公开。土地用途、规划条件、节约集约要求等应载入土地有偿使用合同，由市、县自然资源主管部门加强履约监管；产业准入要求等应纳入监管协议，按照“谁提出、谁履责、谁监管”的原则，由相关部门进行监管。要建立监管信息共享机制，推动形成监管合力。</w:t>
      </w:r>
    </w:p>
    <w:p w14:paraId="43BBE7D4" w14:textId="77777777" w:rsidR="00B474D5" w:rsidRDefault="00B474D5" w:rsidP="00B474D5">
      <w:pPr>
        <w:pStyle w:val="AD"/>
        <w:spacing w:line="276" w:lineRule="auto"/>
        <w:rPr>
          <w:rFonts w:hint="eastAsia"/>
        </w:rPr>
      </w:pPr>
      <w:r>
        <w:rPr>
          <w:rFonts w:hint="eastAsia"/>
        </w:rPr>
        <w:t xml:space="preserve">　　本通知自下发之日起执行，有效期</w:t>
      </w:r>
      <w:r>
        <w:rPr>
          <w:rFonts w:hint="eastAsia"/>
        </w:rPr>
        <w:t>5</w:t>
      </w:r>
      <w:r>
        <w:rPr>
          <w:rFonts w:hint="eastAsia"/>
        </w:rPr>
        <w:t>年。</w:t>
      </w:r>
    </w:p>
    <w:p w14:paraId="1AB986B6" w14:textId="77777777" w:rsidR="00B474D5" w:rsidRDefault="00B474D5" w:rsidP="00B474D5">
      <w:pPr>
        <w:pStyle w:val="AD"/>
        <w:spacing w:line="276" w:lineRule="auto"/>
      </w:pPr>
      <w:r>
        <w:t xml:space="preserve"> </w:t>
      </w:r>
    </w:p>
    <w:p w14:paraId="5A71ADA9" w14:textId="77777777" w:rsidR="00B474D5" w:rsidRDefault="00B474D5" w:rsidP="00B474D5">
      <w:pPr>
        <w:pStyle w:val="AD"/>
        <w:spacing w:line="276" w:lineRule="auto"/>
        <w:jc w:val="right"/>
        <w:rPr>
          <w:rFonts w:hint="eastAsia"/>
        </w:rPr>
      </w:pPr>
      <w:r>
        <w:rPr>
          <w:rFonts w:hint="eastAsia"/>
        </w:rPr>
        <w:t>自然资源部</w:t>
      </w:r>
    </w:p>
    <w:p w14:paraId="094E19E6" w14:textId="32C1A1FE" w:rsidR="00B15193" w:rsidRDefault="00B474D5" w:rsidP="00B474D5">
      <w:pPr>
        <w:pStyle w:val="AD"/>
        <w:spacing w:line="276" w:lineRule="auto"/>
        <w:jc w:val="right"/>
      </w:pPr>
      <w:r>
        <w:rPr>
          <w:rFonts w:hint="eastAsia"/>
        </w:rPr>
        <w:t>2022</w:t>
      </w:r>
      <w:r>
        <w:rPr>
          <w:rFonts w:hint="eastAsia"/>
        </w:rPr>
        <w:t>年</w:t>
      </w:r>
      <w:r>
        <w:rPr>
          <w:rFonts w:hint="eastAsia"/>
        </w:rPr>
        <w:t>11</w:t>
      </w:r>
      <w:r>
        <w:rPr>
          <w:rFonts w:hint="eastAsia"/>
        </w:rPr>
        <w:t>月</w:t>
      </w:r>
      <w:r>
        <w:rPr>
          <w:rFonts w:hint="eastAsia"/>
        </w:rPr>
        <w:t>16</w:t>
      </w:r>
      <w:r>
        <w:rPr>
          <w:rFonts w:hint="eastAsia"/>
        </w:rPr>
        <w:t>日</w:t>
      </w:r>
    </w:p>
    <w:p w14:paraId="49706EAE" w14:textId="7952E824" w:rsidR="00B474D5" w:rsidRDefault="00B474D5" w:rsidP="00B474D5">
      <w:pPr>
        <w:pStyle w:val="AD"/>
        <w:spacing w:line="276" w:lineRule="auto"/>
      </w:pPr>
    </w:p>
    <w:p w14:paraId="7CA0B299" w14:textId="3BF08BCC" w:rsidR="00B474D5" w:rsidRDefault="00B474D5" w:rsidP="00B474D5">
      <w:pPr>
        <w:pStyle w:val="AD"/>
        <w:spacing w:line="276" w:lineRule="auto"/>
      </w:pPr>
    </w:p>
    <w:p w14:paraId="162FE076" w14:textId="7CD7EC01" w:rsidR="00B474D5" w:rsidRDefault="00B474D5" w:rsidP="00B474D5">
      <w:pPr>
        <w:pStyle w:val="AD"/>
        <w:spacing w:line="276" w:lineRule="auto"/>
      </w:pPr>
      <w:r>
        <w:rPr>
          <w:rFonts w:hint="eastAsia"/>
        </w:rPr>
        <w:t>信息来源：</w:t>
      </w:r>
      <w:hyperlink r:id="rId6" w:history="1">
        <w:r w:rsidRPr="00086D05">
          <w:rPr>
            <w:rStyle w:val="a9"/>
          </w:rPr>
          <w:t>http://gi.mnr.gov.cn/202212/t20221220_2771194.html</w:t>
        </w:r>
      </w:hyperlink>
    </w:p>
    <w:p w14:paraId="3401EDB3" w14:textId="77777777" w:rsidR="00B474D5" w:rsidRPr="00B474D5" w:rsidRDefault="00B474D5" w:rsidP="00B474D5">
      <w:pPr>
        <w:pStyle w:val="AD"/>
        <w:spacing w:line="276" w:lineRule="auto"/>
        <w:rPr>
          <w:rFonts w:hint="eastAsia"/>
        </w:rPr>
      </w:pPr>
    </w:p>
    <w:sectPr w:rsidR="00B474D5" w:rsidRPr="00B474D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2106" w14:textId="77777777" w:rsidR="00157CD3" w:rsidRDefault="00157CD3" w:rsidP="00C20A6A">
      <w:pPr>
        <w:spacing w:line="240" w:lineRule="auto"/>
      </w:pPr>
      <w:r>
        <w:separator/>
      </w:r>
    </w:p>
  </w:endnote>
  <w:endnote w:type="continuationSeparator" w:id="0">
    <w:p w14:paraId="30676302" w14:textId="77777777" w:rsidR="00157CD3" w:rsidRDefault="00157CD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B979" w14:textId="77777777" w:rsidR="00157CD3" w:rsidRDefault="00157CD3" w:rsidP="00C20A6A">
      <w:pPr>
        <w:spacing w:line="240" w:lineRule="auto"/>
      </w:pPr>
      <w:r>
        <w:separator/>
      </w:r>
    </w:p>
  </w:footnote>
  <w:footnote w:type="continuationSeparator" w:id="0">
    <w:p w14:paraId="23DDA0DD" w14:textId="77777777" w:rsidR="00157CD3" w:rsidRDefault="00157CD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7CD3"/>
    <w:rsid w:val="000F4C6A"/>
    <w:rsid w:val="00157CD3"/>
    <w:rsid w:val="00176A25"/>
    <w:rsid w:val="001C4C6F"/>
    <w:rsid w:val="003D27E2"/>
    <w:rsid w:val="005F7C76"/>
    <w:rsid w:val="007D7BDB"/>
    <w:rsid w:val="00A548E7"/>
    <w:rsid w:val="00B15193"/>
    <w:rsid w:val="00B474D5"/>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BDC5D"/>
  <w15:chartTrackingRefBased/>
  <w15:docId w15:val="{98403719-51D5-4421-A688-024D014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474D5"/>
    <w:pPr>
      <w:ind w:leftChars="2500" w:left="100"/>
    </w:pPr>
  </w:style>
  <w:style w:type="character" w:customStyle="1" w:styleId="a8">
    <w:name w:val="日期 字符"/>
    <w:basedOn w:val="a0"/>
    <w:link w:val="a7"/>
    <w:uiPriority w:val="99"/>
    <w:semiHidden/>
    <w:rsid w:val="00B474D5"/>
    <w:rPr>
      <w:rFonts w:ascii="Arial" w:eastAsia="宋体" w:hAnsi="Arial"/>
      <w:sz w:val="22"/>
    </w:rPr>
  </w:style>
  <w:style w:type="character" w:styleId="a9">
    <w:name w:val="Hyperlink"/>
    <w:basedOn w:val="a0"/>
    <w:uiPriority w:val="99"/>
    <w:unhideWhenUsed/>
    <w:rsid w:val="00B474D5"/>
    <w:rPr>
      <w:color w:val="0000FF" w:themeColor="hyperlink"/>
      <w:u w:val="single"/>
    </w:rPr>
  </w:style>
  <w:style w:type="character" w:styleId="aa">
    <w:name w:val="Unresolved Mention"/>
    <w:basedOn w:val="a0"/>
    <w:uiPriority w:val="99"/>
    <w:semiHidden/>
    <w:unhideWhenUsed/>
    <w:rsid w:val="00B47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r.gov.cn/202212/t20221220_277119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Aiswei-Legal</dc:creator>
  <cp:keywords/>
  <dc:description/>
  <cp:lastModifiedBy>Aiswei-Legal</cp:lastModifiedBy>
  <cp:revision>2</cp:revision>
  <dcterms:created xsi:type="dcterms:W3CDTF">2022-12-23T04:25:00Z</dcterms:created>
  <dcterms:modified xsi:type="dcterms:W3CDTF">2022-12-23T04:25:00Z</dcterms:modified>
</cp:coreProperties>
</file>