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62CF9" w14:textId="77777777" w:rsidR="00E048AE" w:rsidRPr="00E048AE" w:rsidRDefault="00E048AE" w:rsidP="00E048AE">
      <w:pPr>
        <w:pStyle w:val="AD"/>
        <w:spacing w:line="276" w:lineRule="auto"/>
        <w:jc w:val="center"/>
        <w:rPr>
          <w:b/>
          <w:bCs/>
          <w:color w:val="E36C0A"/>
          <w:sz w:val="32"/>
          <w:szCs w:val="32"/>
        </w:rPr>
      </w:pPr>
      <w:r w:rsidRPr="00E048AE">
        <w:rPr>
          <w:rFonts w:hint="eastAsia"/>
          <w:b/>
          <w:bCs/>
          <w:color w:val="E36C0A"/>
          <w:sz w:val="32"/>
          <w:szCs w:val="32"/>
        </w:rPr>
        <w:t>关于加强中医药知识产权司法保护的意见</w:t>
      </w:r>
    </w:p>
    <w:p w14:paraId="3637F599" w14:textId="77777777" w:rsidR="00E048AE" w:rsidRDefault="00E048AE" w:rsidP="00E048AE">
      <w:pPr>
        <w:pStyle w:val="AD"/>
        <w:spacing w:line="276" w:lineRule="auto"/>
      </w:pPr>
    </w:p>
    <w:p w14:paraId="1BD5AE58" w14:textId="77777777" w:rsidR="00E048AE" w:rsidRDefault="00E048AE" w:rsidP="00E048AE">
      <w:pPr>
        <w:pStyle w:val="AD"/>
        <w:spacing w:line="276" w:lineRule="auto"/>
      </w:pPr>
      <w:r>
        <w:rPr>
          <w:rFonts w:hint="eastAsia"/>
        </w:rPr>
        <w:t xml:space="preserve">　　为深入贯彻落实党的二十大精神，落实党中央、国务院关于中医药振兴发展的重大决策部署和《知识产权强国建设纲要（</w:t>
      </w:r>
      <w:r>
        <w:rPr>
          <w:rFonts w:hint="eastAsia"/>
        </w:rPr>
        <w:t>2021-2035</w:t>
      </w:r>
      <w:r>
        <w:rPr>
          <w:rFonts w:hint="eastAsia"/>
        </w:rPr>
        <w:t>年）》有关要求，全面加强中医药知识产权司法保护，促进中医药传承精华、守正创新，推动中医药事业和产业高质量发展，制定本意见。</w:t>
      </w:r>
    </w:p>
    <w:p w14:paraId="6F8E27E7" w14:textId="77777777" w:rsidR="00E048AE" w:rsidRDefault="00E048AE" w:rsidP="00E048AE">
      <w:pPr>
        <w:pStyle w:val="AD"/>
        <w:spacing w:line="276" w:lineRule="auto"/>
      </w:pPr>
    </w:p>
    <w:p w14:paraId="3B9DC320" w14:textId="77777777" w:rsidR="00E048AE" w:rsidRDefault="00E048AE" w:rsidP="00E048AE">
      <w:pPr>
        <w:pStyle w:val="AD"/>
        <w:spacing w:line="276" w:lineRule="auto"/>
      </w:pPr>
      <w:r>
        <w:rPr>
          <w:rFonts w:hint="eastAsia"/>
        </w:rPr>
        <w:t xml:space="preserve">　　一、坚持正确方向，准确把握新时代加强中医药知识产权司法保护的总体要求</w:t>
      </w:r>
    </w:p>
    <w:p w14:paraId="2E53865B" w14:textId="77777777" w:rsidR="00E048AE" w:rsidRDefault="00E048AE" w:rsidP="00E048AE">
      <w:pPr>
        <w:pStyle w:val="AD"/>
        <w:spacing w:line="276" w:lineRule="auto"/>
      </w:pPr>
      <w:r>
        <w:rPr>
          <w:rFonts w:hint="eastAsia"/>
        </w:rPr>
        <w:t xml:space="preserve">　　</w:t>
      </w:r>
      <w:r>
        <w:rPr>
          <w:rFonts w:hint="eastAsia"/>
        </w:rPr>
        <w:t>1.</w:t>
      </w:r>
      <w:r>
        <w:rPr>
          <w:rFonts w:hint="eastAsia"/>
        </w:rPr>
        <w:t>指导思想。坚持以习近平新时代中国特色社会主义思想为指导，全面贯彻落实党的二十大精神，深入贯彻习近平法治思想，认真学习贯彻习近平总书记关于中医药工作的重要指示，深刻领悟“两个确立”的决定性意义，增强“四个意识”、坚定“四个自信”、做到“两个维护”，坚持以推动高质量发展为主题，在新时代新征程上不断提高中医药知识产权司法保护水平，促进中医药传承创新发展，弘扬中华优秀传统文化，推进健康中国建设，为以中国式现代化全面推进中华民族伟大复兴提供有力司法服务。</w:t>
      </w:r>
    </w:p>
    <w:p w14:paraId="555621D5" w14:textId="77777777" w:rsidR="00E048AE" w:rsidRDefault="00E048AE" w:rsidP="00E048AE">
      <w:pPr>
        <w:pStyle w:val="AD"/>
        <w:spacing w:line="276" w:lineRule="auto"/>
      </w:pPr>
      <w:r>
        <w:rPr>
          <w:rFonts w:hint="eastAsia"/>
        </w:rPr>
        <w:t xml:space="preserve">　　</w:t>
      </w:r>
      <w:r>
        <w:rPr>
          <w:rFonts w:hint="eastAsia"/>
        </w:rPr>
        <w:t>2.</w:t>
      </w:r>
      <w:r>
        <w:rPr>
          <w:rFonts w:hint="eastAsia"/>
        </w:rPr>
        <w:t>基本原则。坚持以人民为中心，充分发挥司法职能作用，促进中医药服务能力提升，更好发挥中医药防病治病独特优势，</w:t>
      </w:r>
      <w:proofErr w:type="gramStart"/>
      <w:r>
        <w:rPr>
          <w:rFonts w:hint="eastAsia"/>
        </w:rPr>
        <w:t>更好保障</w:t>
      </w:r>
      <w:proofErr w:type="gramEnd"/>
      <w:r>
        <w:rPr>
          <w:rFonts w:hint="eastAsia"/>
        </w:rPr>
        <w:t>人民健康。坚持促进传承创新，立足新发展阶段中医药发展需求，健全完善中医药知识产权司法保护体系，推动中医药传统知识保护与现代知识产权制度有效衔接，助力中医药现代化、产业化。坚持依法严格保护，正确适用民法典、知识产权部门法、中医药法等法律法规，切实维护社会公平正义和权利人合法权益，落实知识产权惩罚性赔偿，推动中医药创造性转化、创新性发展。坚持公正合理保护，合理确定中医药知识产权的权利边界和保护方式，实现保护范围、强度与中医药技术贡献程度相适应，促进中医药传承创新能力持续增强。</w:t>
      </w:r>
    </w:p>
    <w:p w14:paraId="645CBAE0" w14:textId="77777777" w:rsidR="00E048AE" w:rsidRDefault="00E048AE" w:rsidP="00E048AE">
      <w:pPr>
        <w:pStyle w:val="AD"/>
        <w:spacing w:line="276" w:lineRule="auto"/>
      </w:pPr>
      <w:r>
        <w:rPr>
          <w:rFonts w:hint="eastAsia"/>
        </w:rPr>
        <w:t xml:space="preserve">　　二、强化审判职能，全面提升中医药知识产权司法保护水平</w:t>
      </w:r>
    </w:p>
    <w:p w14:paraId="5479FCB0" w14:textId="77777777" w:rsidR="00E048AE" w:rsidRDefault="00E048AE" w:rsidP="00E048AE">
      <w:pPr>
        <w:pStyle w:val="AD"/>
        <w:spacing w:line="276" w:lineRule="auto"/>
      </w:pPr>
      <w:r>
        <w:rPr>
          <w:rFonts w:hint="eastAsia"/>
        </w:rPr>
        <w:t xml:space="preserve">　　</w:t>
      </w:r>
      <w:r>
        <w:rPr>
          <w:rFonts w:hint="eastAsia"/>
        </w:rPr>
        <w:t>3.</w:t>
      </w:r>
      <w:r>
        <w:rPr>
          <w:rFonts w:hint="eastAsia"/>
        </w:rPr>
        <w:t>加强中医药专利保护。遵循中医药发展规律，准确把握中医药创新特点，完善中医药领域专利司法保护规则。正确把握中药组合物、中药提取物、中药剂型、中药制备方法、中医中药设备、医药用途等不同主题专利特点，依法加强中医药专利授权确权行政行为的司法审查，促进行政执法标准与司法裁判标准统一，不断满足中医药专利保护需求。结合中医药传统理论和行业特点，合理确定中医药专利权保护范围，完善侵权判断标准。严格落实药品专利纠纷早期解决机制，促进中药专利侵权纠纷及时解决。</w:t>
      </w:r>
    </w:p>
    <w:p w14:paraId="66DFD98E" w14:textId="77777777" w:rsidR="00E048AE" w:rsidRDefault="00E048AE" w:rsidP="00E048AE">
      <w:pPr>
        <w:pStyle w:val="AD"/>
        <w:spacing w:line="276" w:lineRule="auto"/>
      </w:pPr>
      <w:r>
        <w:rPr>
          <w:rFonts w:hint="eastAsia"/>
        </w:rPr>
        <w:t xml:space="preserve">　　</w:t>
      </w:r>
      <w:r>
        <w:rPr>
          <w:rFonts w:hint="eastAsia"/>
        </w:rPr>
        <w:t>4.</w:t>
      </w:r>
      <w:r>
        <w:rPr>
          <w:rFonts w:hint="eastAsia"/>
        </w:rPr>
        <w:t>加强中医药商业标志保护。加强中医药驰名商标、传统品牌和老字号司法保护，依法妥善处理历史遗留问题，促进中医药品牌传承发展。依法制裁中医药领域商标恶意注册行为，坚决惩治恶意诉讼，遏制权利滥用，努力营造诚实守信的社会环境。严厉打击中医药商标侵权行为，切实保障权利人合法权益，促进中医药品牌建设。</w:t>
      </w:r>
    </w:p>
    <w:p w14:paraId="34AA12D3" w14:textId="77777777" w:rsidR="00E048AE" w:rsidRDefault="00E048AE" w:rsidP="00E048AE">
      <w:pPr>
        <w:pStyle w:val="AD"/>
        <w:spacing w:line="276" w:lineRule="auto"/>
      </w:pPr>
      <w:r>
        <w:rPr>
          <w:rFonts w:hint="eastAsia"/>
        </w:rPr>
        <w:t xml:space="preserve">　　</w:t>
      </w:r>
      <w:r>
        <w:rPr>
          <w:rFonts w:hint="eastAsia"/>
        </w:rPr>
        <w:t>5.</w:t>
      </w:r>
      <w:r>
        <w:rPr>
          <w:rFonts w:hint="eastAsia"/>
        </w:rPr>
        <w:t>加强中药材资源保护。研究完善中药材地理标志保护法律适用规则，遏制侵犯中药材地理标志行为，引导地理标志权利正确行使，通过地理标志保护机制加强道地中药材的保护，推动中药材地理标志与特色产业发展、生态文明建设、历史文化传承及全面推进乡村振兴有机融合。依法加强中药材植物新品种权等保护，推动健全系统完整、科学高效的中药材种质资源保护与利用体系。</w:t>
      </w:r>
    </w:p>
    <w:p w14:paraId="7BA0F440" w14:textId="77777777" w:rsidR="00E048AE" w:rsidRDefault="00E048AE" w:rsidP="00E048AE">
      <w:pPr>
        <w:pStyle w:val="AD"/>
        <w:spacing w:line="276" w:lineRule="auto"/>
      </w:pPr>
      <w:r>
        <w:rPr>
          <w:rFonts w:hint="eastAsia"/>
        </w:rPr>
        <w:t xml:space="preserve">　　</w:t>
      </w:r>
      <w:r>
        <w:rPr>
          <w:rFonts w:hint="eastAsia"/>
        </w:rPr>
        <w:t>6.</w:t>
      </w:r>
      <w:r>
        <w:rPr>
          <w:rFonts w:hint="eastAsia"/>
        </w:rPr>
        <w:t>维护中医药市场公平竞争秩序。坚持规范和发展并重，加强对中医药领域垄断行为的司法规制，维护统一开放、竞争有序的中医药市场。依法制裁虚假宣传、商业诋毁、擅自使用中</w:t>
      </w:r>
      <w:r>
        <w:rPr>
          <w:rFonts w:hint="eastAsia"/>
        </w:rPr>
        <w:lastRenderedPageBreak/>
        <w:t>医药知名企业名称及仿冒中药知名药品名称、包装、装潢等不正当竞争行为，强化中医药行业公平竞争意识，促进中医药事业健康有序发展，切实维护消费者合法权益和社会公共利益。</w:t>
      </w:r>
    </w:p>
    <w:p w14:paraId="68C74604" w14:textId="77777777" w:rsidR="00E048AE" w:rsidRDefault="00E048AE" w:rsidP="00E048AE">
      <w:pPr>
        <w:pStyle w:val="AD"/>
        <w:spacing w:line="276" w:lineRule="auto"/>
      </w:pPr>
      <w:r>
        <w:rPr>
          <w:rFonts w:hint="eastAsia"/>
        </w:rPr>
        <w:t xml:space="preserve">　　</w:t>
      </w:r>
      <w:r>
        <w:rPr>
          <w:rFonts w:hint="eastAsia"/>
        </w:rPr>
        <w:t>7.</w:t>
      </w:r>
      <w:r>
        <w:rPr>
          <w:rFonts w:hint="eastAsia"/>
        </w:rPr>
        <w:t>加强中医药商业秘密及国家秘密保护。依法保护中医药商业秘密，有效遏制侵犯中医药商业秘密行为，促进中医药技术传承创新。准确把握信息披露与商业秘密保护的关系，依法保护中药因上市注册、补充申请、药品再注册等原因依法向行政机关披露的中医药信息。妥善处理中医药商业秘密保护与中医药领域从业者合理流动的关系，在依法保护商业秘密的同时，维护中医药领域从业者正当就业创业合法权益。对经依法认定属于国家秘密的传统中药处方组成和生产工艺实行特殊保护，严惩窃取、泄露中医药国家秘密行为。</w:t>
      </w:r>
    </w:p>
    <w:p w14:paraId="3FD5F094" w14:textId="77777777" w:rsidR="00E048AE" w:rsidRDefault="00E048AE" w:rsidP="00E048AE">
      <w:pPr>
        <w:pStyle w:val="AD"/>
        <w:spacing w:line="276" w:lineRule="auto"/>
      </w:pPr>
      <w:r>
        <w:rPr>
          <w:rFonts w:hint="eastAsia"/>
        </w:rPr>
        <w:t xml:space="preserve">　　</w:t>
      </w:r>
      <w:r>
        <w:rPr>
          <w:rFonts w:hint="eastAsia"/>
        </w:rPr>
        <w:t>8.</w:t>
      </w:r>
      <w:r>
        <w:rPr>
          <w:rFonts w:hint="eastAsia"/>
        </w:rPr>
        <w:t>加强中医药著作权及相关权利保护。依法把握作品认定标准，加强对中医药配方、秘方、诊疗技术收集考证、挖掘整理形成的智力成果保护和创作者权益保护。依法保护对中医药古籍版本整理形成的成果，鼓励创作中医药文化和科普作品，推动中医药文化传承发展。加强中医药遗传资源、传统文化、传统知识、民间文艺等知识产权保护，促进非物质文化遗产的整理和利用。依法保护对中医药传统知识等进行整理、研究形成的数据资源，支持中医药传统知识保护数据库建设，推进中医药数据开发利用。</w:t>
      </w:r>
    </w:p>
    <w:p w14:paraId="0D7B318A" w14:textId="77777777" w:rsidR="00E048AE" w:rsidRDefault="00E048AE" w:rsidP="00E048AE">
      <w:pPr>
        <w:pStyle w:val="AD"/>
        <w:spacing w:line="276" w:lineRule="auto"/>
      </w:pPr>
      <w:r>
        <w:rPr>
          <w:rFonts w:hint="eastAsia"/>
        </w:rPr>
        <w:t xml:space="preserve">　　</w:t>
      </w:r>
      <w:r>
        <w:rPr>
          <w:rFonts w:hint="eastAsia"/>
        </w:rPr>
        <w:t>9.</w:t>
      </w:r>
      <w:r>
        <w:rPr>
          <w:rFonts w:hint="eastAsia"/>
        </w:rPr>
        <w:t>加强中药品种保护。依法保护中药保护品种证书持有者合法权益，促进完善中药品种保护制度，鼓励企业研制开发具有临床价值的中药品种，提高中药产品质量，促进中药市场健康有序发展。</w:t>
      </w:r>
    </w:p>
    <w:p w14:paraId="4A283175" w14:textId="77777777" w:rsidR="00E048AE" w:rsidRDefault="00E048AE" w:rsidP="00E048AE">
      <w:pPr>
        <w:pStyle w:val="AD"/>
        <w:spacing w:line="276" w:lineRule="auto"/>
      </w:pPr>
      <w:r>
        <w:rPr>
          <w:rFonts w:hint="eastAsia"/>
        </w:rPr>
        <w:t xml:space="preserve">　　</w:t>
      </w:r>
      <w:r>
        <w:rPr>
          <w:rFonts w:hint="eastAsia"/>
        </w:rPr>
        <w:t>10.</w:t>
      </w:r>
      <w:r>
        <w:rPr>
          <w:rFonts w:hint="eastAsia"/>
        </w:rPr>
        <w:t>加强中医药创新主体合法权益保护。准确把握中医药传承与创新关系，依法保护以古代经典名方等为基础的中药新药研发，鼓励开展中医药技术创新活动。准确认定中医药企业提供的物质基础、临床试验条件与中医药研发人员的智力劳动对中医药技术成果形成所发挥的作用，准确界定职务发明与非职务发明的法律界限，依法支持对完成、转化中医药技术成果做出重要贡献的人员获得奖励和报酬的权利，不断激发中医药创新发展的潜力和活力。</w:t>
      </w:r>
    </w:p>
    <w:p w14:paraId="02FE236F" w14:textId="77777777" w:rsidR="00E048AE" w:rsidRDefault="00E048AE" w:rsidP="00E048AE">
      <w:pPr>
        <w:pStyle w:val="AD"/>
        <w:spacing w:line="276" w:lineRule="auto"/>
      </w:pPr>
      <w:r>
        <w:rPr>
          <w:rFonts w:hint="eastAsia"/>
        </w:rPr>
        <w:t xml:space="preserve">　　</w:t>
      </w:r>
      <w:r>
        <w:rPr>
          <w:rFonts w:hint="eastAsia"/>
        </w:rPr>
        <w:t>11.</w:t>
      </w:r>
      <w:r>
        <w:rPr>
          <w:rFonts w:hint="eastAsia"/>
        </w:rPr>
        <w:t>加大对侵犯中医药知识产权行为惩治力度。依法采取行为保全、制裁妨害诉讼行为等措施，及时有效阻遏中医药领域侵权行为。积极适用证据保全、证据提供令、举证责任转移、证明妨碍规则，减轻中医药知识产权权利人举证负担。正确把握惩罚性赔偿构成要件，对于重复侵权、以侵权为业等侵权行为情节严重的，依法支持权利人惩罚性赔偿请求，有效提高侵权赔偿数额。加大刑事打击力度，依法惩治侵犯中医药知识产权犯罪行为，充分发挥刑罚威慑、预防和矫正功能。</w:t>
      </w:r>
    </w:p>
    <w:p w14:paraId="6AA20933" w14:textId="77777777" w:rsidR="00E048AE" w:rsidRDefault="00E048AE" w:rsidP="00E048AE">
      <w:pPr>
        <w:pStyle w:val="AD"/>
        <w:spacing w:line="276" w:lineRule="auto"/>
      </w:pPr>
      <w:r>
        <w:rPr>
          <w:rFonts w:hint="eastAsia"/>
        </w:rPr>
        <w:t xml:space="preserve">　　三、深化改革创新，健全中医药知识产权综合保护体系</w:t>
      </w:r>
    </w:p>
    <w:p w14:paraId="6547EC5A" w14:textId="77777777" w:rsidR="00E048AE" w:rsidRDefault="00E048AE" w:rsidP="00E048AE">
      <w:pPr>
        <w:pStyle w:val="AD"/>
        <w:spacing w:line="276" w:lineRule="auto"/>
      </w:pPr>
      <w:r>
        <w:rPr>
          <w:rFonts w:hint="eastAsia"/>
        </w:rPr>
        <w:t xml:space="preserve">　　</w:t>
      </w:r>
      <w:r>
        <w:rPr>
          <w:rFonts w:hint="eastAsia"/>
        </w:rPr>
        <w:t>12.</w:t>
      </w:r>
      <w:r>
        <w:rPr>
          <w:rFonts w:hint="eastAsia"/>
        </w:rPr>
        <w:t>完善中医药技术事实查明机制。有针对性地选任中医药领域专业技术人员，充实到全国法院技术调查人才库。不断健全技术调查官、技术咨询专家、技术鉴定人员、专家辅助人员参与诉讼的多元技术事实查明机制。建立技术调查人才共享机制，加快实现中医药技术人才在全国范围内“按需调派”和“人才共享”。遴选中医药领域专业技术人员参与案件审理，推动建立专家陪审制度。完善中医药领域技术人员出庭、就专业问题提出意见并接受询问的程序。</w:t>
      </w:r>
    </w:p>
    <w:p w14:paraId="13432F16" w14:textId="77777777" w:rsidR="00E048AE" w:rsidRDefault="00E048AE" w:rsidP="00E048AE">
      <w:pPr>
        <w:pStyle w:val="AD"/>
        <w:spacing w:line="276" w:lineRule="auto"/>
      </w:pPr>
      <w:r>
        <w:rPr>
          <w:rFonts w:hint="eastAsia"/>
        </w:rPr>
        <w:t xml:space="preserve">　　</w:t>
      </w:r>
      <w:r>
        <w:rPr>
          <w:rFonts w:hint="eastAsia"/>
        </w:rPr>
        <w:t>13.</w:t>
      </w:r>
      <w:r>
        <w:rPr>
          <w:rFonts w:hint="eastAsia"/>
        </w:rPr>
        <w:t>加强中医药知识产权协同保护。做好中医药领域不同知识产权保护方式的衔接，推动知识产权司法保护体系不断完善。深入推行民事、刑事、行政“三合一”审判机制，提高中医药知识产权司法保护整体效能。健全知识产权行政保护与司法保护衔接机制，加强与农业农村部、卫生健康委、市场监管总局、版权局、林草局、中医药局、药监局、知识产权局等协调配合，实现信息资源共享和协同，支持地方拓宽交流渠道和方式，推动形成工作合力。支持和拓展中</w:t>
      </w:r>
      <w:r>
        <w:rPr>
          <w:rFonts w:hint="eastAsia"/>
        </w:rPr>
        <w:lastRenderedPageBreak/>
        <w:t>医药知识产权纠纷多元化解决机制，依托人民法院调解平台大力</w:t>
      </w:r>
      <w:proofErr w:type="gramStart"/>
      <w:r>
        <w:rPr>
          <w:rFonts w:hint="eastAsia"/>
        </w:rPr>
        <w:t>推进诉调对接</w:t>
      </w:r>
      <w:proofErr w:type="gramEnd"/>
      <w:r>
        <w:rPr>
          <w:rFonts w:hint="eastAsia"/>
        </w:rPr>
        <w:t>，探索行政调解协议司法确认制度，推动纠纷综合治理、源头治理。</w:t>
      </w:r>
    </w:p>
    <w:p w14:paraId="1372122C" w14:textId="77777777" w:rsidR="00E048AE" w:rsidRDefault="00E048AE" w:rsidP="00E048AE">
      <w:pPr>
        <w:pStyle w:val="AD"/>
        <w:spacing w:line="276" w:lineRule="auto"/>
      </w:pPr>
      <w:r>
        <w:rPr>
          <w:rFonts w:hint="eastAsia"/>
        </w:rPr>
        <w:t xml:space="preserve">　　</w:t>
      </w:r>
      <w:r>
        <w:rPr>
          <w:rFonts w:hint="eastAsia"/>
        </w:rPr>
        <w:t>14.</w:t>
      </w:r>
      <w:r>
        <w:rPr>
          <w:rFonts w:hint="eastAsia"/>
        </w:rPr>
        <w:t>提升中医药知识产权司法服务保障能力。健全人才培养培训机制，进一步提升中医药知识产权审判人才专业化水平。深刻把握新形势新要求，积极开展中医药知识产权司法保护问题的调查研究，</w:t>
      </w:r>
      <w:proofErr w:type="gramStart"/>
      <w:r>
        <w:rPr>
          <w:rFonts w:hint="eastAsia"/>
        </w:rPr>
        <w:t>研</w:t>
      </w:r>
      <w:proofErr w:type="gramEnd"/>
      <w:r>
        <w:rPr>
          <w:rFonts w:hint="eastAsia"/>
        </w:rPr>
        <w:t>判审判态势，总结审判经验，及时回应社会关切。加强中医药知识产权法治宣传，建立健全案例指导体系，积极发布中医药知识产权保护典型案例，通过典型案例的审判和宣传加强中医药知识传播，营造全社会共同关心和支持中医药发展的良好氛围。</w:t>
      </w:r>
    </w:p>
    <w:p w14:paraId="1A2FD7C9" w14:textId="77777777" w:rsidR="00E048AE" w:rsidRDefault="00E048AE" w:rsidP="00E048AE">
      <w:pPr>
        <w:pStyle w:val="AD"/>
        <w:spacing w:line="276" w:lineRule="auto"/>
      </w:pPr>
      <w:r>
        <w:rPr>
          <w:rFonts w:hint="eastAsia"/>
        </w:rPr>
        <w:t xml:space="preserve">　　</w:t>
      </w:r>
      <w:r>
        <w:rPr>
          <w:rFonts w:hint="eastAsia"/>
        </w:rPr>
        <w:t>15.</w:t>
      </w:r>
      <w:r>
        <w:rPr>
          <w:rFonts w:hint="eastAsia"/>
        </w:rPr>
        <w:t>加强中医药知识产权司法保护科技和信息化建设。提升中医药知识产权审判信息化水平，运用大数据、区块链等技术构建与专利、商标、版权等知识产权平台的协同机制，支持对知识产权的权属、登记、转让等信息的查询核验。大力推进信息化技术的普及应用，实现全流程审判业务网上办理，提高中医药知识产权司法保护质效。</w:t>
      </w:r>
    </w:p>
    <w:p w14:paraId="3875FD88" w14:textId="77777777" w:rsidR="00E048AE" w:rsidRDefault="00E048AE" w:rsidP="00E048AE">
      <w:pPr>
        <w:pStyle w:val="AD"/>
        <w:spacing w:line="276" w:lineRule="auto"/>
      </w:pPr>
      <w:r>
        <w:rPr>
          <w:rFonts w:hint="eastAsia"/>
        </w:rPr>
        <w:t xml:space="preserve">　　</w:t>
      </w:r>
      <w:r>
        <w:rPr>
          <w:rFonts w:hint="eastAsia"/>
        </w:rPr>
        <w:t>16.</w:t>
      </w:r>
      <w:r>
        <w:rPr>
          <w:rFonts w:hint="eastAsia"/>
        </w:rPr>
        <w:t>加强中医药知识产权司法保护国际交流合作。加强涉外中医药知识产权审判，依法平等保护中外权利人的合法权益，服务保障中医药国际化发展。坚持统筹推进国内法治和涉外法治，积极参与中医药领域国际知识产权规则构建，推进中医药融入高质量共建“一带一路”，助力中医药走向世界。</w:t>
      </w:r>
    </w:p>
    <w:p w14:paraId="218C1723" w14:textId="77777777" w:rsidR="00E048AE" w:rsidRDefault="00E048AE" w:rsidP="00E048AE">
      <w:pPr>
        <w:pStyle w:val="AD"/>
        <w:spacing w:line="276" w:lineRule="auto"/>
      </w:pPr>
    </w:p>
    <w:p w14:paraId="077E227A" w14:textId="71C1452C" w:rsidR="00E048AE" w:rsidRDefault="00E048AE" w:rsidP="00E048AE">
      <w:pPr>
        <w:pStyle w:val="AD"/>
        <w:spacing w:line="276" w:lineRule="auto"/>
        <w:jc w:val="right"/>
      </w:pPr>
      <w:r>
        <w:rPr>
          <w:rFonts w:hint="eastAsia"/>
        </w:rPr>
        <w:t xml:space="preserve">　　最高人民法院</w:t>
      </w:r>
    </w:p>
    <w:p w14:paraId="1298890E" w14:textId="1E879136" w:rsidR="00B15193" w:rsidRDefault="00E048AE" w:rsidP="00E048AE">
      <w:pPr>
        <w:pStyle w:val="AD"/>
        <w:spacing w:line="276" w:lineRule="auto"/>
        <w:jc w:val="right"/>
      </w:pPr>
      <w:r>
        <w:rPr>
          <w:rFonts w:hint="eastAsia"/>
        </w:rPr>
        <w:t xml:space="preserve">　　</w:t>
      </w:r>
      <w:r>
        <w:rPr>
          <w:rFonts w:hint="eastAsia"/>
        </w:rPr>
        <w:t>2022</w:t>
      </w:r>
      <w:r>
        <w:rPr>
          <w:rFonts w:hint="eastAsia"/>
        </w:rPr>
        <w:t>年</w:t>
      </w:r>
      <w:r>
        <w:rPr>
          <w:rFonts w:hint="eastAsia"/>
        </w:rPr>
        <w:t>12</w:t>
      </w:r>
      <w:r>
        <w:rPr>
          <w:rFonts w:hint="eastAsia"/>
        </w:rPr>
        <w:t>月</w:t>
      </w:r>
      <w:r>
        <w:rPr>
          <w:rFonts w:hint="eastAsia"/>
        </w:rPr>
        <w:t>21</w:t>
      </w:r>
      <w:r>
        <w:rPr>
          <w:rFonts w:hint="eastAsia"/>
        </w:rPr>
        <w:t>日</w:t>
      </w:r>
    </w:p>
    <w:p w14:paraId="51DA9191" w14:textId="0DC66718" w:rsidR="00E048AE" w:rsidRDefault="00E048AE" w:rsidP="00E048AE">
      <w:pPr>
        <w:pStyle w:val="AD"/>
        <w:spacing w:line="276" w:lineRule="auto"/>
        <w:jc w:val="right"/>
      </w:pPr>
    </w:p>
    <w:p w14:paraId="0F6DB3AD" w14:textId="77777777" w:rsidR="003D1309" w:rsidRDefault="003D1309" w:rsidP="00E048AE">
      <w:pPr>
        <w:pStyle w:val="AD"/>
        <w:spacing w:line="276" w:lineRule="auto"/>
        <w:jc w:val="right"/>
        <w:rPr>
          <w:rFonts w:hint="eastAsia"/>
        </w:rPr>
      </w:pPr>
    </w:p>
    <w:p w14:paraId="6C73328A" w14:textId="70896292" w:rsidR="00E048AE" w:rsidRDefault="00E048AE" w:rsidP="00E048AE">
      <w:pPr>
        <w:pStyle w:val="AD"/>
        <w:spacing w:line="276" w:lineRule="auto"/>
        <w:jc w:val="left"/>
      </w:pPr>
      <w:r>
        <w:rPr>
          <w:rFonts w:hint="eastAsia"/>
        </w:rPr>
        <w:t>信息来源：</w:t>
      </w:r>
      <w:hyperlink r:id="rId6" w:history="1">
        <w:r w:rsidRPr="00F228DD">
          <w:rPr>
            <w:rStyle w:val="a9"/>
          </w:rPr>
          <w:t>https://www.court.gov.cn/fabu-xiangqing-384041.html</w:t>
        </w:r>
      </w:hyperlink>
    </w:p>
    <w:p w14:paraId="194BD048" w14:textId="77777777" w:rsidR="00E048AE" w:rsidRPr="00E048AE" w:rsidRDefault="00E048AE" w:rsidP="00E048AE">
      <w:pPr>
        <w:pStyle w:val="AD"/>
        <w:spacing w:line="276" w:lineRule="auto"/>
        <w:jc w:val="left"/>
      </w:pPr>
    </w:p>
    <w:sectPr w:rsidR="00E048AE" w:rsidRPr="00E048A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E730" w14:textId="77777777" w:rsidR="00E048AE" w:rsidRDefault="00E048AE" w:rsidP="00C20A6A">
      <w:pPr>
        <w:spacing w:line="240" w:lineRule="auto"/>
      </w:pPr>
      <w:r>
        <w:separator/>
      </w:r>
    </w:p>
  </w:endnote>
  <w:endnote w:type="continuationSeparator" w:id="0">
    <w:p w14:paraId="162D0C7C" w14:textId="77777777" w:rsidR="00E048AE" w:rsidRDefault="00E048A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8760" w14:textId="77777777" w:rsidR="00E048AE" w:rsidRDefault="00E048AE" w:rsidP="00C20A6A">
      <w:pPr>
        <w:spacing w:line="240" w:lineRule="auto"/>
      </w:pPr>
      <w:r>
        <w:separator/>
      </w:r>
    </w:p>
  </w:footnote>
  <w:footnote w:type="continuationSeparator" w:id="0">
    <w:p w14:paraId="4E83E5CF" w14:textId="77777777" w:rsidR="00E048AE" w:rsidRDefault="00E048A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8AE"/>
    <w:rsid w:val="000F4C6A"/>
    <w:rsid w:val="00176A25"/>
    <w:rsid w:val="001C4C6F"/>
    <w:rsid w:val="003D1309"/>
    <w:rsid w:val="003D27E2"/>
    <w:rsid w:val="005F7C76"/>
    <w:rsid w:val="007D7BDB"/>
    <w:rsid w:val="00A548E7"/>
    <w:rsid w:val="00B15193"/>
    <w:rsid w:val="00B731F1"/>
    <w:rsid w:val="00C20A6A"/>
    <w:rsid w:val="00C22624"/>
    <w:rsid w:val="00D02718"/>
    <w:rsid w:val="00E04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D35AF"/>
  <w15:chartTrackingRefBased/>
  <w15:docId w15:val="{541D3444-FB42-4410-9BCF-DEC9F2A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48AE"/>
    <w:pPr>
      <w:ind w:leftChars="2500" w:left="100"/>
    </w:pPr>
  </w:style>
  <w:style w:type="character" w:customStyle="1" w:styleId="a8">
    <w:name w:val="日期 字符"/>
    <w:basedOn w:val="a0"/>
    <w:link w:val="a7"/>
    <w:uiPriority w:val="99"/>
    <w:semiHidden/>
    <w:rsid w:val="00E048AE"/>
    <w:rPr>
      <w:rFonts w:ascii="Arial" w:eastAsia="宋体" w:hAnsi="Arial"/>
      <w:sz w:val="22"/>
    </w:rPr>
  </w:style>
  <w:style w:type="character" w:styleId="a9">
    <w:name w:val="Hyperlink"/>
    <w:basedOn w:val="a0"/>
    <w:uiPriority w:val="99"/>
    <w:unhideWhenUsed/>
    <w:rsid w:val="00E048AE"/>
    <w:rPr>
      <w:color w:val="0000FF" w:themeColor="hyperlink"/>
      <w:u w:val="single"/>
    </w:rPr>
  </w:style>
  <w:style w:type="character" w:styleId="aa">
    <w:name w:val="Unresolved Mention"/>
    <w:basedOn w:val="a0"/>
    <w:uiPriority w:val="99"/>
    <w:semiHidden/>
    <w:unhideWhenUsed/>
    <w:rsid w:val="00E04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840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Aiswei-Legal</cp:lastModifiedBy>
  <cp:revision>2</cp:revision>
  <dcterms:created xsi:type="dcterms:W3CDTF">2022-12-23T02:23:00Z</dcterms:created>
  <dcterms:modified xsi:type="dcterms:W3CDTF">2022-12-23T04:35:00Z</dcterms:modified>
</cp:coreProperties>
</file>