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1F02" w14:textId="5BC17E52" w:rsidR="00FC3252" w:rsidRPr="00FC3252" w:rsidRDefault="003B768E" w:rsidP="00AA7537">
      <w:pPr>
        <w:pStyle w:val="AD"/>
        <w:spacing w:line="276" w:lineRule="auto"/>
        <w:jc w:val="center"/>
        <w:rPr>
          <w:b/>
          <w:bCs/>
          <w:color w:val="E36C0A"/>
          <w:sz w:val="32"/>
          <w:szCs w:val="32"/>
        </w:rPr>
      </w:pPr>
      <w:r w:rsidRPr="00FC3252">
        <w:rPr>
          <w:rFonts w:hint="eastAsia"/>
          <w:b/>
          <w:bCs/>
          <w:color w:val="E36C0A"/>
          <w:sz w:val="32"/>
          <w:szCs w:val="32"/>
        </w:rPr>
        <w:t>关于涉外民商事案件管辖若干问题的规定</w:t>
      </w:r>
    </w:p>
    <w:p w14:paraId="5ACCE55D" w14:textId="2CAE3834" w:rsidR="003B768E" w:rsidRDefault="003B768E" w:rsidP="00D15652">
      <w:pPr>
        <w:pStyle w:val="AD"/>
        <w:spacing w:line="276" w:lineRule="auto"/>
        <w:jc w:val="center"/>
      </w:pPr>
      <w:r>
        <w:rPr>
          <w:rFonts w:hint="eastAsia"/>
        </w:rPr>
        <w:t>（</w:t>
      </w:r>
      <w:r>
        <w:rPr>
          <w:rFonts w:hint="eastAsia"/>
        </w:rPr>
        <w:t>2022</w:t>
      </w:r>
      <w:r>
        <w:rPr>
          <w:rFonts w:hint="eastAsia"/>
        </w:rPr>
        <w:t>年</w:t>
      </w:r>
      <w:r>
        <w:rPr>
          <w:rFonts w:hint="eastAsia"/>
        </w:rPr>
        <w:t>8</w:t>
      </w:r>
      <w:r>
        <w:rPr>
          <w:rFonts w:hint="eastAsia"/>
        </w:rPr>
        <w:t>月</w:t>
      </w:r>
      <w:r>
        <w:rPr>
          <w:rFonts w:hint="eastAsia"/>
        </w:rPr>
        <w:t>16</w:t>
      </w:r>
      <w:r>
        <w:rPr>
          <w:rFonts w:hint="eastAsia"/>
        </w:rPr>
        <w:t>日最高人民法院审判委员会第</w:t>
      </w:r>
      <w:r>
        <w:rPr>
          <w:rFonts w:hint="eastAsia"/>
        </w:rPr>
        <w:t>1872</w:t>
      </w:r>
      <w:r>
        <w:rPr>
          <w:rFonts w:hint="eastAsia"/>
        </w:rPr>
        <w:t>次会议通过，自</w:t>
      </w:r>
      <w:r>
        <w:rPr>
          <w:rFonts w:hint="eastAsia"/>
        </w:rPr>
        <w:t>2023</w:t>
      </w:r>
      <w:r>
        <w:rPr>
          <w:rFonts w:hint="eastAsia"/>
        </w:rPr>
        <w:t>年</w:t>
      </w:r>
      <w:r>
        <w:rPr>
          <w:rFonts w:hint="eastAsia"/>
        </w:rPr>
        <w:t>1</w:t>
      </w:r>
      <w:r>
        <w:rPr>
          <w:rFonts w:hint="eastAsia"/>
        </w:rPr>
        <w:t>月</w:t>
      </w:r>
      <w:r>
        <w:rPr>
          <w:rFonts w:hint="eastAsia"/>
        </w:rPr>
        <w:t>1</w:t>
      </w:r>
      <w:r>
        <w:rPr>
          <w:rFonts w:hint="eastAsia"/>
        </w:rPr>
        <w:t>日起施行）</w:t>
      </w:r>
    </w:p>
    <w:p w14:paraId="01880545" w14:textId="77777777" w:rsidR="003B768E" w:rsidRPr="00D15652" w:rsidRDefault="003B768E" w:rsidP="00AA7537">
      <w:pPr>
        <w:pStyle w:val="AD"/>
        <w:spacing w:line="276" w:lineRule="auto"/>
      </w:pPr>
    </w:p>
    <w:p w14:paraId="5A3ECB6E" w14:textId="77777777" w:rsidR="003B768E" w:rsidRDefault="003B768E" w:rsidP="00AA7537">
      <w:pPr>
        <w:pStyle w:val="AD"/>
        <w:spacing w:line="276" w:lineRule="auto"/>
      </w:pPr>
      <w:r>
        <w:rPr>
          <w:rFonts w:hint="eastAsia"/>
        </w:rPr>
        <w:t xml:space="preserve">　　为依法保护中外当事人合法权益，便利当事人诉讼，进一步提升涉外民商事审判质效，根据《中华人民共和国民事诉讼法》的规定，结合审判实践，制定本规定。</w:t>
      </w:r>
    </w:p>
    <w:p w14:paraId="360F30FA" w14:textId="77777777" w:rsidR="003B768E" w:rsidRDefault="003B768E" w:rsidP="00AA7537">
      <w:pPr>
        <w:pStyle w:val="AD"/>
        <w:spacing w:line="276" w:lineRule="auto"/>
      </w:pPr>
    </w:p>
    <w:p w14:paraId="7FD6A8FA" w14:textId="77777777" w:rsidR="003B768E" w:rsidRDefault="003B768E" w:rsidP="00AA7537">
      <w:pPr>
        <w:pStyle w:val="AD"/>
        <w:spacing w:line="276" w:lineRule="auto"/>
      </w:pPr>
      <w:r>
        <w:rPr>
          <w:rFonts w:hint="eastAsia"/>
        </w:rPr>
        <w:t xml:space="preserve">　　第一条</w:t>
      </w:r>
      <w:r>
        <w:rPr>
          <w:rFonts w:hint="eastAsia"/>
        </w:rPr>
        <w:t xml:space="preserve">  </w:t>
      </w:r>
      <w:r>
        <w:rPr>
          <w:rFonts w:hint="eastAsia"/>
        </w:rPr>
        <w:t>基层人民法院管辖第一审涉外民商事案件，法律、司法解释另有规定的除外。</w:t>
      </w:r>
    </w:p>
    <w:p w14:paraId="691D8DEE" w14:textId="77777777" w:rsidR="003B768E" w:rsidRDefault="003B768E" w:rsidP="00AA7537">
      <w:pPr>
        <w:pStyle w:val="AD"/>
        <w:spacing w:line="276" w:lineRule="auto"/>
      </w:pPr>
    </w:p>
    <w:p w14:paraId="2DDAE144" w14:textId="77777777" w:rsidR="003B768E" w:rsidRDefault="003B768E" w:rsidP="00AA7537">
      <w:pPr>
        <w:pStyle w:val="AD"/>
        <w:spacing w:line="276" w:lineRule="auto"/>
      </w:pPr>
      <w:r>
        <w:rPr>
          <w:rFonts w:hint="eastAsia"/>
        </w:rPr>
        <w:t xml:space="preserve">　　第二条</w:t>
      </w:r>
      <w:r>
        <w:rPr>
          <w:rFonts w:hint="eastAsia"/>
        </w:rPr>
        <w:t xml:space="preserve">  </w:t>
      </w:r>
      <w:r>
        <w:rPr>
          <w:rFonts w:hint="eastAsia"/>
        </w:rPr>
        <w:t>中级人民法院管辖下列第一审涉外民商事案件：</w:t>
      </w:r>
    </w:p>
    <w:p w14:paraId="4100C691" w14:textId="77777777" w:rsidR="003B768E" w:rsidRDefault="003B768E" w:rsidP="00AA7537">
      <w:pPr>
        <w:pStyle w:val="AD"/>
        <w:spacing w:line="276" w:lineRule="auto"/>
      </w:pPr>
    </w:p>
    <w:p w14:paraId="55CE92D9" w14:textId="77777777" w:rsidR="003B768E" w:rsidRDefault="003B768E" w:rsidP="00AA7537">
      <w:pPr>
        <w:pStyle w:val="AD"/>
        <w:spacing w:line="276" w:lineRule="auto"/>
      </w:pPr>
      <w:r>
        <w:rPr>
          <w:rFonts w:hint="eastAsia"/>
        </w:rPr>
        <w:t xml:space="preserve">　　（一）争议标的额大的涉外民商事案件。</w:t>
      </w:r>
    </w:p>
    <w:p w14:paraId="70E4776E" w14:textId="77777777" w:rsidR="003B768E" w:rsidRDefault="003B768E" w:rsidP="00AA7537">
      <w:pPr>
        <w:pStyle w:val="AD"/>
        <w:spacing w:line="276" w:lineRule="auto"/>
      </w:pPr>
    </w:p>
    <w:p w14:paraId="07C6A6AF" w14:textId="77777777" w:rsidR="003B768E" w:rsidRDefault="003B768E" w:rsidP="00AA7537">
      <w:pPr>
        <w:pStyle w:val="AD"/>
        <w:spacing w:line="276" w:lineRule="auto"/>
      </w:pPr>
      <w:r>
        <w:rPr>
          <w:rFonts w:hint="eastAsia"/>
        </w:rPr>
        <w:t xml:space="preserve">　　北京、天津、上海、江苏、浙江、福建、山东、广东、重庆辖区中级人民法院，管辖诉讼标的额人民币</w:t>
      </w:r>
      <w:r>
        <w:rPr>
          <w:rFonts w:hint="eastAsia"/>
        </w:rPr>
        <w:t>4000</w:t>
      </w:r>
      <w:r>
        <w:rPr>
          <w:rFonts w:hint="eastAsia"/>
        </w:rPr>
        <w:t>万元以上（包含本数）的涉外民商事案件；</w:t>
      </w:r>
    </w:p>
    <w:p w14:paraId="6AF53474" w14:textId="77777777" w:rsidR="003B768E" w:rsidRDefault="003B768E" w:rsidP="00AA7537">
      <w:pPr>
        <w:pStyle w:val="AD"/>
        <w:spacing w:line="276" w:lineRule="auto"/>
      </w:pPr>
    </w:p>
    <w:p w14:paraId="5BEA3EC6" w14:textId="77777777" w:rsidR="003B768E" w:rsidRDefault="003B768E" w:rsidP="00AA7537">
      <w:pPr>
        <w:pStyle w:val="AD"/>
        <w:spacing w:line="276" w:lineRule="auto"/>
      </w:pPr>
      <w:r>
        <w:rPr>
          <w:rFonts w:hint="eastAsia"/>
        </w:rPr>
        <w:t xml:space="preserve">　　河北、山西、内蒙古、辽宁、吉林、黑龙江、安徽、江西、河南、湖北、湖南、广西、海南、四川、贵州、云南、西藏、陕西、甘肃、青海、宁夏、新疆辖区中级人民法院，解放军各战区、总直属军事法院，新疆维吾尔自治区高级人民法院生产建设兵团分院所辖各中级人民法院，管辖诉讼标的额人民币</w:t>
      </w:r>
      <w:r>
        <w:rPr>
          <w:rFonts w:hint="eastAsia"/>
        </w:rPr>
        <w:t>2000</w:t>
      </w:r>
      <w:r>
        <w:rPr>
          <w:rFonts w:hint="eastAsia"/>
        </w:rPr>
        <w:t>万元以上（包含本数）的涉外民商事案件。</w:t>
      </w:r>
    </w:p>
    <w:p w14:paraId="44771CDA" w14:textId="77777777" w:rsidR="003B768E" w:rsidRDefault="003B768E" w:rsidP="00AA7537">
      <w:pPr>
        <w:pStyle w:val="AD"/>
        <w:spacing w:line="276" w:lineRule="auto"/>
      </w:pPr>
    </w:p>
    <w:p w14:paraId="289AB8C1" w14:textId="77777777" w:rsidR="003B768E" w:rsidRDefault="003B768E" w:rsidP="00AA7537">
      <w:pPr>
        <w:pStyle w:val="AD"/>
        <w:spacing w:line="276" w:lineRule="auto"/>
      </w:pPr>
      <w:r>
        <w:rPr>
          <w:rFonts w:hint="eastAsia"/>
        </w:rPr>
        <w:t xml:space="preserve">　　（二）案情复杂或者一方当事人人数众多的涉外民商事案件。</w:t>
      </w:r>
    </w:p>
    <w:p w14:paraId="52AE8A9F" w14:textId="77777777" w:rsidR="003B768E" w:rsidRDefault="003B768E" w:rsidP="00AA7537">
      <w:pPr>
        <w:pStyle w:val="AD"/>
        <w:spacing w:line="276" w:lineRule="auto"/>
      </w:pPr>
    </w:p>
    <w:p w14:paraId="0D08CCAF" w14:textId="77777777" w:rsidR="003B768E" w:rsidRDefault="003B768E" w:rsidP="00AA7537">
      <w:pPr>
        <w:pStyle w:val="AD"/>
        <w:spacing w:line="276" w:lineRule="auto"/>
      </w:pPr>
      <w:r>
        <w:rPr>
          <w:rFonts w:hint="eastAsia"/>
        </w:rPr>
        <w:t xml:space="preserve">　　（三）其他在本辖区有重大影响的涉外民商事案件。</w:t>
      </w:r>
    </w:p>
    <w:p w14:paraId="25A0FDAA" w14:textId="77777777" w:rsidR="003B768E" w:rsidRDefault="003B768E" w:rsidP="00AA7537">
      <w:pPr>
        <w:pStyle w:val="AD"/>
        <w:spacing w:line="276" w:lineRule="auto"/>
      </w:pPr>
    </w:p>
    <w:p w14:paraId="2C301D0E" w14:textId="77777777" w:rsidR="003B768E" w:rsidRDefault="003B768E" w:rsidP="00AA7537">
      <w:pPr>
        <w:pStyle w:val="AD"/>
        <w:spacing w:line="276" w:lineRule="auto"/>
      </w:pPr>
      <w:r>
        <w:rPr>
          <w:rFonts w:hint="eastAsia"/>
        </w:rPr>
        <w:t xml:space="preserve">　　法律、司法解释对中级人民法院管辖第一审涉外民商事案件另有规定的，依照相关规定办理。</w:t>
      </w:r>
    </w:p>
    <w:p w14:paraId="4CD761B3" w14:textId="77777777" w:rsidR="003B768E" w:rsidRDefault="003B768E" w:rsidP="00AA7537">
      <w:pPr>
        <w:pStyle w:val="AD"/>
        <w:spacing w:line="276" w:lineRule="auto"/>
      </w:pPr>
    </w:p>
    <w:p w14:paraId="7DCBF208" w14:textId="77777777" w:rsidR="003B768E" w:rsidRDefault="003B768E" w:rsidP="00AA7537">
      <w:pPr>
        <w:pStyle w:val="AD"/>
        <w:spacing w:line="276" w:lineRule="auto"/>
      </w:pPr>
      <w:r>
        <w:rPr>
          <w:rFonts w:hint="eastAsia"/>
        </w:rPr>
        <w:t xml:space="preserve">　　第三条</w:t>
      </w:r>
      <w:r>
        <w:rPr>
          <w:rFonts w:hint="eastAsia"/>
        </w:rPr>
        <w:t xml:space="preserve">  </w:t>
      </w:r>
      <w:r>
        <w:rPr>
          <w:rFonts w:hint="eastAsia"/>
        </w:rPr>
        <w:t>高级人民法院管辖诉讼标的额人民币</w:t>
      </w:r>
      <w:r>
        <w:rPr>
          <w:rFonts w:hint="eastAsia"/>
        </w:rPr>
        <w:t>50</w:t>
      </w:r>
      <w:r>
        <w:rPr>
          <w:rFonts w:hint="eastAsia"/>
        </w:rPr>
        <w:t>亿元以上（包含本数）或者其他在本辖区有重大影响的第一审涉外民商事案件。</w:t>
      </w:r>
    </w:p>
    <w:p w14:paraId="14110D3A" w14:textId="77777777" w:rsidR="003B768E" w:rsidRDefault="003B768E" w:rsidP="00AA7537">
      <w:pPr>
        <w:pStyle w:val="AD"/>
        <w:spacing w:line="276" w:lineRule="auto"/>
      </w:pPr>
    </w:p>
    <w:p w14:paraId="6D352855" w14:textId="77777777" w:rsidR="003B768E" w:rsidRDefault="003B768E" w:rsidP="00AA7537">
      <w:pPr>
        <w:pStyle w:val="AD"/>
        <w:spacing w:line="276" w:lineRule="auto"/>
      </w:pPr>
      <w:r>
        <w:rPr>
          <w:rFonts w:hint="eastAsia"/>
        </w:rPr>
        <w:t xml:space="preserve">　　第四条</w:t>
      </w:r>
      <w:r>
        <w:rPr>
          <w:rFonts w:hint="eastAsia"/>
        </w:rPr>
        <w:t xml:space="preserve">  </w:t>
      </w:r>
      <w:r>
        <w:rPr>
          <w:rFonts w:hint="eastAsia"/>
        </w:rPr>
        <w:t>高级人民法院根据本辖区的实际情况，认为确有必要的，经报最高人民法院批准，可以指定一个或数个基层人民法院、中级人民法院分别对本规定第一条、第二条规定的第一审涉外民商事案件实行跨区域集中管辖。</w:t>
      </w:r>
    </w:p>
    <w:p w14:paraId="2B5942E9" w14:textId="77777777" w:rsidR="003B768E" w:rsidRDefault="003B768E" w:rsidP="00AA7537">
      <w:pPr>
        <w:pStyle w:val="AD"/>
        <w:spacing w:line="276" w:lineRule="auto"/>
      </w:pPr>
    </w:p>
    <w:p w14:paraId="1A68AC34" w14:textId="77777777" w:rsidR="003B768E" w:rsidRDefault="003B768E" w:rsidP="00AA7537">
      <w:pPr>
        <w:pStyle w:val="AD"/>
        <w:spacing w:line="276" w:lineRule="auto"/>
      </w:pPr>
      <w:r>
        <w:rPr>
          <w:rFonts w:hint="eastAsia"/>
        </w:rPr>
        <w:t xml:space="preserve">　　依据前款规定实行跨区域集中管辖的，高级人民法院应及时向社会公布</w:t>
      </w:r>
      <w:proofErr w:type="gramStart"/>
      <w:r>
        <w:rPr>
          <w:rFonts w:hint="eastAsia"/>
        </w:rPr>
        <w:t>该基层</w:t>
      </w:r>
      <w:proofErr w:type="gramEnd"/>
      <w:r>
        <w:rPr>
          <w:rFonts w:hint="eastAsia"/>
        </w:rPr>
        <w:t>人民法院、中级人民法院相应的管辖区域。</w:t>
      </w:r>
    </w:p>
    <w:p w14:paraId="3CA30C46" w14:textId="77777777" w:rsidR="003B768E" w:rsidRDefault="003B768E" w:rsidP="00AA7537">
      <w:pPr>
        <w:pStyle w:val="AD"/>
        <w:spacing w:line="276" w:lineRule="auto"/>
      </w:pPr>
    </w:p>
    <w:p w14:paraId="561ABAE9" w14:textId="77777777" w:rsidR="003B768E" w:rsidRDefault="003B768E" w:rsidP="00AA7537">
      <w:pPr>
        <w:pStyle w:val="AD"/>
        <w:spacing w:line="276" w:lineRule="auto"/>
      </w:pPr>
      <w:r>
        <w:rPr>
          <w:rFonts w:hint="eastAsia"/>
        </w:rPr>
        <w:t xml:space="preserve">　　第五条</w:t>
      </w:r>
      <w:r>
        <w:rPr>
          <w:rFonts w:hint="eastAsia"/>
        </w:rPr>
        <w:t xml:space="preserve">  </w:t>
      </w:r>
      <w:r>
        <w:rPr>
          <w:rFonts w:hint="eastAsia"/>
        </w:rPr>
        <w:t>涉外民商事案件由专门的审判庭或合议庭审理。</w:t>
      </w:r>
    </w:p>
    <w:p w14:paraId="5A81628C" w14:textId="77777777" w:rsidR="003B768E" w:rsidRDefault="003B768E" w:rsidP="00AA7537">
      <w:pPr>
        <w:pStyle w:val="AD"/>
        <w:spacing w:line="276" w:lineRule="auto"/>
      </w:pPr>
    </w:p>
    <w:p w14:paraId="30AE6FE6" w14:textId="77777777" w:rsidR="003B768E" w:rsidRDefault="003B768E" w:rsidP="00AA7537">
      <w:pPr>
        <w:pStyle w:val="AD"/>
        <w:spacing w:line="276" w:lineRule="auto"/>
      </w:pPr>
      <w:r>
        <w:rPr>
          <w:rFonts w:hint="eastAsia"/>
        </w:rPr>
        <w:lastRenderedPageBreak/>
        <w:t xml:space="preserve">　　第六条</w:t>
      </w:r>
      <w:r>
        <w:rPr>
          <w:rFonts w:hint="eastAsia"/>
        </w:rPr>
        <w:t xml:space="preserve">  </w:t>
      </w:r>
      <w:r>
        <w:rPr>
          <w:rFonts w:hint="eastAsia"/>
        </w:rPr>
        <w:t>涉外海事海商纠纷案件、涉外知识产权纠纷案件、涉外生态环境损害赔偿纠纷案件以及涉外环境民事公益诉讼案件，不适用本规定。</w:t>
      </w:r>
    </w:p>
    <w:p w14:paraId="2F0798A2" w14:textId="77777777" w:rsidR="003B768E" w:rsidRDefault="003B768E" w:rsidP="00AA7537">
      <w:pPr>
        <w:pStyle w:val="AD"/>
        <w:spacing w:line="276" w:lineRule="auto"/>
      </w:pPr>
    </w:p>
    <w:p w14:paraId="51773CAB" w14:textId="77777777" w:rsidR="003B768E" w:rsidRDefault="003B768E" w:rsidP="00AA7537">
      <w:pPr>
        <w:pStyle w:val="AD"/>
        <w:spacing w:line="276" w:lineRule="auto"/>
      </w:pPr>
      <w:r>
        <w:rPr>
          <w:rFonts w:hint="eastAsia"/>
        </w:rPr>
        <w:t xml:space="preserve">　　第七条</w:t>
      </w:r>
      <w:r>
        <w:rPr>
          <w:rFonts w:hint="eastAsia"/>
        </w:rPr>
        <w:t xml:space="preserve">  </w:t>
      </w:r>
      <w:r>
        <w:rPr>
          <w:rFonts w:hint="eastAsia"/>
        </w:rPr>
        <w:t>涉及香港、澳门特别行政区和台湾地区的民商事案件参照适用本规定。</w:t>
      </w:r>
    </w:p>
    <w:p w14:paraId="665F4057" w14:textId="77777777" w:rsidR="003B768E" w:rsidRDefault="003B768E" w:rsidP="00AA7537">
      <w:pPr>
        <w:pStyle w:val="AD"/>
        <w:spacing w:line="276" w:lineRule="auto"/>
      </w:pPr>
    </w:p>
    <w:p w14:paraId="6F3429BC" w14:textId="77777777" w:rsidR="003B768E" w:rsidRDefault="003B768E" w:rsidP="00AA7537">
      <w:pPr>
        <w:pStyle w:val="AD"/>
        <w:spacing w:line="276" w:lineRule="auto"/>
      </w:pPr>
      <w:r>
        <w:rPr>
          <w:rFonts w:hint="eastAsia"/>
        </w:rPr>
        <w:t xml:space="preserve">　　第八条</w:t>
      </w:r>
      <w:r>
        <w:rPr>
          <w:rFonts w:hint="eastAsia"/>
        </w:rPr>
        <w:t xml:space="preserve">  </w:t>
      </w:r>
      <w:r>
        <w:rPr>
          <w:rFonts w:hint="eastAsia"/>
        </w:rPr>
        <w:t>本规定自</w:t>
      </w:r>
      <w:r>
        <w:rPr>
          <w:rFonts w:hint="eastAsia"/>
        </w:rPr>
        <w:t>2023</w:t>
      </w:r>
      <w:r>
        <w:rPr>
          <w:rFonts w:hint="eastAsia"/>
        </w:rPr>
        <w:t>年</w:t>
      </w:r>
      <w:r>
        <w:rPr>
          <w:rFonts w:hint="eastAsia"/>
        </w:rPr>
        <w:t>1</w:t>
      </w:r>
      <w:r>
        <w:rPr>
          <w:rFonts w:hint="eastAsia"/>
        </w:rPr>
        <w:t>月</w:t>
      </w:r>
      <w:r>
        <w:rPr>
          <w:rFonts w:hint="eastAsia"/>
        </w:rPr>
        <w:t>1</w:t>
      </w:r>
      <w:r>
        <w:rPr>
          <w:rFonts w:hint="eastAsia"/>
        </w:rPr>
        <w:t>日起施行。本规定施行后受理的案件适用本规定。</w:t>
      </w:r>
    </w:p>
    <w:p w14:paraId="3F321339" w14:textId="77777777" w:rsidR="003B768E" w:rsidRDefault="003B768E" w:rsidP="00AA7537">
      <w:pPr>
        <w:pStyle w:val="AD"/>
        <w:spacing w:line="276" w:lineRule="auto"/>
      </w:pPr>
    </w:p>
    <w:p w14:paraId="1B873364" w14:textId="4A929C26" w:rsidR="00B15193" w:rsidRDefault="003B768E" w:rsidP="00285FE5">
      <w:pPr>
        <w:pStyle w:val="AD"/>
        <w:spacing w:line="276" w:lineRule="auto"/>
      </w:pPr>
      <w:r>
        <w:rPr>
          <w:rFonts w:hint="eastAsia"/>
        </w:rPr>
        <w:t xml:space="preserve">　　第九条</w:t>
      </w:r>
      <w:r>
        <w:rPr>
          <w:rFonts w:hint="eastAsia"/>
        </w:rPr>
        <w:t xml:space="preserve">  </w:t>
      </w:r>
      <w:r>
        <w:rPr>
          <w:rFonts w:hint="eastAsia"/>
        </w:rPr>
        <w:t>本院以前发布的司法解释与本规定不一致的，以本规定为准。</w:t>
      </w:r>
    </w:p>
    <w:p w14:paraId="757D2E93" w14:textId="5E70B643" w:rsidR="00285FE5" w:rsidRDefault="00285FE5" w:rsidP="00285FE5">
      <w:pPr>
        <w:pStyle w:val="AD"/>
        <w:spacing w:line="276" w:lineRule="auto"/>
      </w:pPr>
    </w:p>
    <w:p w14:paraId="250D01BB" w14:textId="77777777" w:rsidR="00285FE5" w:rsidRDefault="00285FE5" w:rsidP="00285FE5">
      <w:pPr>
        <w:pStyle w:val="AD"/>
        <w:spacing w:line="276" w:lineRule="auto"/>
      </w:pPr>
    </w:p>
    <w:p w14:paraId="59B59771" w14:textId="680BF6B2" w:rsidR="00AA47CA" w:rsidRDefault="00AA47CA" w:rsidP="00AA7537">
      <w:pPr>
        <w:pStyle w:val="AD"/>
        <w:spacing w:line="276" w:lineRule="auto"/>
      </w:pPr>
      <w:r>
        <w:rPr>
          <w:rFonts w:hint="eastAsia"/>
        </w:rPr>
        <w:t>信息来源：</w:t>
      </w:r>
      <w:hyperlink r:id="rId6" w:history="1">
        <w:r w:rsidRPr="004E5E8C">
          <w:rPr>
            <w:rStyle w:val="a7"/>
          </w:rPr>
          <w:t>https://www.court.gov.cn/zixun-xiangqing-379181.html</w:t>
        </w:r>
      </w:hyperlink>
    </w:p>
    <w:p w14:paraId="358DF075" w14:textId="77777777" w:rsidR="00AA47CA" w:rsidRPr="00AA47CA" w:rsidRDefault="00AA47CA" w:rsidP="00AA7537">
      <w:pPr>
        <w:pStyle w:val="AD"/>
        <w:spacing w:line="276" w:lineRule="auto"/>
      </w:pPr>
    </w:p>
    <w:sectPr w:rsidR="00AA47CA" w:rsidRPr="00AA47C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E370" w14:textId="77777777" w:rsidR="008701FC" w:rsidRDefault="008701FC" w:rsidP="00C20A6A">
      <w:pPr>
        <w:spacing w:line="240" w:lineRule="auto"/>
      </w:pPr>
      <w:r>
        <w:separator/>
      </w:r>
    </w:p>
  </w:endnote>
  <w:endnote w:type="continuationSeparator" w:id="0">
    <w:p w14:paraId="4345355F" w14:textId="77777777" w:rsidR="008701FC" w:rsidRDefault="008701F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0D52" w14:textId="77777777" w:rsidR="008701FC" w:rsidRDefault="008701FC" w:rsidP="00C20A6A">
      <w:pPr>
        <w:spacing w:line="240" w:lineRule="auto"/>
      </w:pPr>
      <w:r>
        <w:separator/>
      </w:r>
    </w:p>
  </w:footnote>
  <w:footnote w:type="continuationSeparator" w:id="0">
    <w:p w14:paraId="5B4C5272" w14:textId="77777777" w:rsidR="008701FC" w:rsidRDefault="008701F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768E"/>
    <w:rsid w:val="000F4C6A"/>
    <w:rsid w:val="00176A25"/>
    <w:rsid w:val="001C4C6F"/>
    <w:rsid w:val="00285FE5"/>
    <w:rsid w:val="003B768E"/>
    <w:rsid w:val="003D27E2"/>
    <w:rsid w:val="005F7C76"/>
    <w:rsid w:val="00607883"/>
    <w:rsid w:val="007D7BDB"/>
    <w:rsid w:val="008701FC"/>
    <w:rsid w:val="00A548E7"/>
    <w:rsid w:val="00AA47CA"/>
    <w:rsid w:val="00AA7537"/>
    <w:rsid w:val="00B15193"/>
    <w:rsid w:val="00B731F1"/>
    <w:rsid w:val="00C20A6A"/>
    <w:rsid w:val="00C22624"/>
    <w:rsid w:val="00D02718"/>
    <w:rsid w:val="00D15652"/>
    <w:rsid w:val="00F27D9B"/>
    <w:rsid w:val="00FC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4DD9E"/>
  <w15:chartTrackingRefBased/>
  <w15:docId w15:val="{109D2E13-3680-44C4-860D-06574CDD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A47CA"/>
    <w:rPr>
      <w:color w:val="0000FF" w:themeColor="hyperlink"/>
      <w:u w:val="single"/>
    </w:rPr>
  </w:style>
  <w:style w:type="character" w:styleId="a8">
    <w:name w:val="Unresolved Mention"/>
    <w:basedOn w:val="a0"/>
    <w:uiPriority w:val="99"/>
    <w:semiHidden/>
    <w:unhideWhenUsed/>
    <w:rsid w:val="00AA4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3791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2022-11-17T06:41:00Z</dcterms:created>
  <dcterms:modified xsi:type="dcterms:W3CDTF">2022-11-18T04:55:00Z</dcterms:modified>
</cp:coreProperties>
</file>