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FAFE" w14:textId="0DE118B5" w:rsidR="00E00739" w:rsidRPr="00B9566B" w:rsidRDefault="00E00739" w:rsidP="00E00739">
      <w:pPr>
        <w:jc w:val="center"/>
        <w:rPr>
          <w:rFonts w:ascii="Arial" w:hAnsi="Arial"/>
          <w:b/>
          <w:bCs/>
        </w:rPr>
      </w:pPr>
      <w:r w:rsidRPr="00B9566B">
        <w:rPr>
          <w:rFonts w:ascii="Arial" w:hAnsi="Arial" w:cs="Times New Roman" w:hint="eastAsia"/>
          <w:b/>
          <w:bCs/>
          <w:color w:val="E36C0A"/>
          <w:sz w:val="32"/>
          <w:szCs w:val="32"/>
        </w:rPr>
        <w:t>关于支持中央企业发行科技创新公司债</w:t>
      </w:r>
      <w:proofErr w:type="gramStart"/>
      <w:r w:rsidRPr="00B9566B">
        <w:rPr>
          <w:rFonts w:ascii="Arial" w:hAnsi="Arial" w:cs="Times New Roman" w:hint="eastAsia"/>
          <w:b/>
          <w:bCs/>
          <w:color w:val="E36C0A"/>
          <w:sz w:val="32"/>
          <w:szCs w:val="32"/>
        </w:rPr>
        <w:t>券</w:t>
      </w:r>
      <w:proofErr w:type="gramEnd"/>
      <w:r w:rsidRPr="00B9566B">
        <w:rPr>
          <w:rFonts w:ascii="Arial" w:hAnsi="Arial" w:cs="Times New Roman" w:hint="eastAsia"/>
          <w:b/>
          <w:bCs/>
          <w:color w:val="E36C0A"/>
          <w:sz w:val="32"/>
          <w:szCs w:val="32"/>
        </w:rPr>
        <w:t>的通知</w:t>
      </w:r>
    </w:p>
    <w:p w14:paraId="63C3CB5B" w14:textId="77777777" w:rsidR="00E00739" w:rsidRPr="00B9566B" w:rsidRDefault="00E00739" w:rsidP="00E00739">
      <w:pPr>
        <w:jc w:val="center"/>
        <w:rPr>
          <w:rFonts w:ascii="Arial" w:hAnsi="Arial"/>
        </w:rPr>
      </w:pPr>
      <w:r w:rsidRPr="00B9566B">
        <w:rPr>
          <w:rFonts w:ascii="Arial" w:hAnsi="Arial" w:hint="eastAsia"/>
        </w:rPr>
        <w:t>证监发〔</w:t>
      </w:r>
      <w:r w:rsidRPr="00B9566B">
        <w:rPr>
          <w:rFonts w:ascii="Arial" w:hAnsi="Arial" w:hint="eastAsia"/>
        </w:rPr>
        <w:t>2022</w:t>
      </w:r>
      <w:r w:rsidRPr="00B9566B">
        <w:rPr>
          <w:rFonts w:ascii="Arial" w:hAnsi="Arial" w:hint="eastAsia"/>
        </w:rPr>
        <w:t>〕</w:t>
      </w:r>
      <w:r w:rsidRPr="00B9566B">
        <w:rPr>
          <w:rFonts w:ascii="Arial" w:hAnsi="Arial" w:hint="eastAsia"/>
        </w:rPr>
        <w:t>80</w:t>
      </w:r>
      <w:r w:rsidRPr="00B9566B">
        <w:rPr>
          <w:rFonts w:ascii="Arial" w:hAnsi="Arial" w:hint="eastAsia"/>
        </w:rPr>
        <w:t>号</w:t>
      </w:r>
    </w:p>
    <w:p w14:paraId="4F9575C4" w14:textId="77777777" w:rsidR="00E00739" w:rsidRPr="00B9566B" w:rsidRDefault="00E00739" w:rsidP="00E00739">
      <w:pPr>
        <w:rPr>
          <w:rFonts w:ascii="Arial" w:hAnsi="Arial"/>
        </w:rPr>
      </w:pPr>
    </w:p>
    <w:p w14:paraId="695D5512" w14:textId="0F7D92A7" w:rsidR="00E00739" w:rsidRPr="00B9566B" w:rsidRDefault="00E00739" w:rsidP="00E00739">
      <w:pPr>
        <w:rPr>
          <w:rFonts w:ascii="Arial" w:hAnsi="Arial"/>
        </w:rPr>
      </w:pPr>
      <w:r w:rsidRPr="00B9566B">
        <w:rPr>
          <w:rFonts w:ascii="Arial" w:hAnsi="Arial" w:hint="eastAsia"/>
        </w:rPr>
        <w:t>中国证监会各派出机构，上海证券交易所，深圳证券交易所，北京证券交易所，中国证券登记结算有限责任公司，中国证券业协会，中国证券投资基金业协会，各省、自治区、直辖市及计划单列市和新疆生产建设兵团国资委，各中央企业：</w:t>
      </w:r>
    </w:p>
    <w:p w14:paraId="5F6FBB4D" w14:textId="77777777" w:rsidR="00E00739" w:rsidRPr="00B9566B" w:rsidRDefault="00E00739" w:rsidP="00E00739">
      <w:pPr>
        <w:rPr>
          <w:rFonts w:ascii="Arial" w:hAnsi="Arial"/>
        </w:rPr>
      </w:pPr>
    </w:p>
    <w:p w14:paraId="3C958CC6" w14:textId="5C71605F" w:rsidR="00E00739" w:rsidRPr="00B9566B" w:rsidRDefault="00E00739" w:rsidP="00E00739">
      <w:pPr>
        <w:ind w:firstLineChars="200" w:firstLine="440"/>
        <w:rPr>
          <w:rFonts w:ascii="Arial" w:hAnsi="Arial"/>
        </w:rPr>
      </w:pPr>
      <w:r w:rsidRPr="00B9566B">
        <w:rPr>
          <w:rFonts w:ascii="Arial" w:hAnsi="Arial" w:hint="eastAsia"/>
        </w:rPr>
        <w:t>中央企业作为国民经济发展的重要支柱，在提高自主创新能力、建设创新型国家进程中肩负着重大历史使命。为深入贯彻党中央、国务院关于实施创新驱动发展的战略决策，强化资本市场服务科技创新能力，进一步支持中央企业发行科技创新公司债</w:t>
      </w:r>
      <w:proofErr w:type="gramStart"/>
      <w:r w:rsidRPr="00B9566B">
        <w:rPr>
          <w:rFonts w:ascii="Arial" w:hAnsi="Arial" w:hint="eastAsia"/>
        </w:rPr>
        <w:t>券</w:t>
      </w:r>
      <w:proofErr w:type="gramEnd"/>
      <w:r w:rsidRPr="00B9566B">
        <w:rPr>
          <w:rFonts w:ascii="Arial" w:hAnsi="Arial" w:hint="eastAsia"/>
        </w:rPr>
        <w:t>融资，现就有关事项通知如下：</w:t>
      </w:r>
    </w:p>
    <w:p w14:paraId="048B0FD5" w14:textId="77777777" w:rsidR="00E00739" w:rsidRPr="00B9566B" w:rsidRDefault="00E00739" w:rsidP="00E00739">
      <w:pPr>
        <w:ind w:firstLineChars="200" w:firstLine="440"/>
        <w:rPr>
          <w:rFonts w:ascii="Arial" w:hAnsi="Arial"/>
        </w:rPr>
      </w:pPr>
    </w:p>
    <w:p w14:paraId="50465DB9" w14:textId="77777777" w:rsidR="00E00739" w:rsidRPr="00B9566B" w:rsidRDefault="00E00739" w:rsidP="00E00739">
      <w:pPr>
        <w:rPr>
          <w:rFonts w:ascii="Arial" w:hAnsi="Arial"/>
          <w:b/>
          <w:bCs/>
        </w:rPr>
      </w:pPr>
      <w:r w:rsidRPr="00B9566B">
        <w:rPr>
          <w:rFonts w:ascii="Arial" w:hAnsi="Arial" w:hint="eastAsia"/>
          <w:b/>
          <w:bCs/>
        </w:rPr>
        <w:t>一、健全科技创新金融服务支持机制</w:t>
      </w:r>
    </w:p>
    <w:p w14:paraId="36865B39" w14:textId="42459677"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一</w:t>
      </w:r>
      <w:r>
        <w:rPr>
          <w:rFonts w:ascii="Arial" w:hAnsi="Arial" w:hint="eastAsia"/>
        </w:rPr>
        <w:t>）</w:t>
      </w:r>
      <w:r w:rsidR="00E00739" w:rsidRPr="00B9566B">
        <w:rPr>
          <w:rFonts w:ascii="Arial" w:hAnsi="Arial" w:hint="eastAsia"/>
        </w:rPr>
        <w:t>完善债券市场服务科技创新机制。加强债券市场对科技创新领域的精准支持，重点支持高新技术产业和战略性新兴产业及转型升级等领域中央企业发行科技创新公司债</w:t>
      </w:r>
      <w:proofErr w:type="gramStart"/>
      <w:r w:rsidR="00E00739" w:rsidRPr="00B9566B">
        <w:rPr>
          <w:rFonts w:ascii="Arial" w:hAnsi="Arial" w:hint="eastAsia"/>
        </w:rPr>
        <w:t>券</w:t>
      </w:r>
      <w:proofErr w:type="gramEnd"/>
      <w:r w:rsidR="00E00739" w:rsidRPr="00B9566B">
        <w:rPr>
          <w:rFonts w:ascii="Arial" w:hAnsi="Arial" w:hint="eastAsia"/>
        </w:rPr>
        <w:t>。鼓励中央企业发行中长期科技创新公司债</w:t>
      </w:r>
      <w:proofErr w:type="gramStart"/>
      <w:r w:rsidR="00E00739" w:rsidRPr="00B9566B">
        <w:rPr>
          <w:rFonts w:ascii="Arial" w:hAnsi="Arial" w:hint="eastAsia"/>
        </w:rPr>
        <w:t>券</w:t>
      </w:r>
      <w:proofErr w:type="gramEnd"/>
      <w:r w:rsidR="00E00739" w:rsidRPr="00B9566B">
        <w:rPr>
          <w:rFonts w:ascii="Arial" w:hAnsi="Arial" w:hint="eastAsia"/>
        </w:rPr>
        <w:t>，增强融资工具与科技创新活动的适配性。</w:t>
      </w:r>
    </w:p>
    <w:p w14:paraId="5B666B74" w14:textId="6494D5B9"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二</w:t>
      </w:r>
      <w:r>
        <w:rPr>
          <w:rFonts w:ascii="Arial" w:hAnsi="Arial" w:hint="eastAsia"/>
        </w:rPr>
        <w:t>）</w:t>
      </w:r>
      <w:r w:rsidR="00E00739" w:rsidRPr="00B9566B">
        <w:rPr>
          <w:rFonts w:ascii="Arial" w:hAnsi="Arial" w:hint="eastAsia"/>
        </w:rPr>
        <w:t>优化债券融资服务机制。将科技创新公司债</w:t>
      </w:r>
      <w:proofErr w:type="gramStart"/>
      <w:r w:rsidR="00E00739" w:rsidRPr="00B9566B">
        <w:rPr>
          <w:rFonts w:ascii="Arial" w:hAnsi="Arial" w:hint="eastAsia"/>
        </w:rPr>
        <w:t>券</w:t>
      </w:r>
      <w:proofErr w:type="gramEnd"/>
      <w:r w:rsidR="00E00739" w:rsidRPr="00B9566B">
        <w:rPr>
          <w:rFonts w:ascii="Arial" w:hAnsi="Arial" w:hint="eastAsia"/>
        </w:rPr>
        <w:t>纳入</w:t>
      </w:r>
      <w:proofErr w:type="gramStart"/>
      <w:r w:rsidR="00E00739" w:rsidRPr="00B9566B">
        <w:rPr>
          <w:rFonts w:ascii="Arial" w:hAnsi="Arial" w:hint="eastAsia"/>
        </w:rPr>
        <w:t>储架发行</w:t>
      </w:r>
      <w:proofErr w:type="gramEnd"/>
      <w:r w:rsidR="00E00739" w:rsidRPr="00B9566B">
        <w:rPr>
          <w:rFonts w:ascii="Arial" w:hAnsi="Arial" w:hint="eastAsia"/>
        </w:rPr>
        <w:t>机制，对于优质中央企业发行</w:t>
      </w:r>
      <w:proofErr w:type="gramStart"/>
      <w:r w:rsidR="00E00739" w:rsidRPr="00B9566B">
        <w:rPr>
          <w:rFonts w:ascii="Arial" w:hAnsi="Arial" w:hint="eastAsia"/>
        </w:rPr>
        <w:t>科创债</w:t>
      </w:r>
      <w:proofErr w:type="gramEnd"/>
      <w:r w:rsidR="00E00739" w:rsidRPr="00B9566B">
        <w:rPr>
          <w:rFonts w:ascii="Arial" w:hAnsi="Arial" w:hint="eastAsia"/>
        </w:rPr>
        <w:t>适用优化审核安排，简化文件签章和信息披露等方面要求，提高融资效率。对于推动关键核心技术攻关、打造原创技术策源地、承担国家重大科技项目、推动产业转型升级等方面具有示范作用的中央企业，</w:t>
      </w:r>
      <w:proofErr w:type="gramStart"/>
      <w:r w:rsidR="00E00739" w:rsidRPr="00B9566B">
        <w:rPr>
          <w:rFonts w:ascii="Arial" w:hAnsi="Arial" w:hint="eastAsia"/>
        </w:rPr>
        <w:t>财报期限</w:t>
      </w:r>
      <w:proofErr w:type="gramEnd"/>
      <w:r w:rsidR="00E00739" w:rsidRPr="00B9566B">
        <w:rPr>
          <w:rFonts w:ascii="Arial" w:hAnsi="Arial" w:hint="eastAsia"/>
        </w:rPr>
        <w:t>要求可予以放宽。对于存在保密要求的事项，可按规定申请豁免披露。</w:t>
      </w:r>
    </w:p>
    <w:p w14:paraId="03352181" w14:textId="19BAB1B3"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三</w:t>
      </w:r>
      <w:r>
        <w:rPr>
          <w:rFonts w:ascii="Arial" w:hAnsi="Arial" w:hint="eastAsia"/>
        </w:rPr>
        <w:t>）</w:t>
      </w:r>
      <w:r w:rsidR="00E00739" w:rsidRPr="00B9566B">
        <w:rPr>
          <w:rFonts w:ascii="Arial" w:hAnsi="Arial" w:hint="eastAsia"/>
        </w:rPr>
        <w:t>便利债券回购机制。研究适当提高部分优质中央企业科技创新公司债</w:t>
      </w:r>
      <w:proofErr w:type="gramStart"/>
      <w:r w:rsidR="00E00739" w:rsidRPr="00B9566B">
        <w:rPr>
          <w:rFonts w:ascii="Arial" w:hAnsi="Arial" w:hint="eastAsia"/>
        </w:rPr>
        <w:t>券</w:t>
      </w:r>
      <w:proofErr w:type="gramEnd"/>
      <w:r w:rsidR="00E00739" w:rsidRPr="00B9566B">
        <w:rPr>
          <w:rFonts w:ascii="Arial" w:hAnsi="Arial" w:hint="eastAsia"/>
        </w:rPr>
        <w:t>通用质押式回购折扣系数</w:t>
      </w:r>
      <w:r w:rsidR="00E00739" w:rsidRPr="00B9566B">
        <w:rPr>
          <w:rFonts w:ascii="Arial" w:hAnsi="Arial" w:hint="eastAsia"/>
        </w:rPr>
        <w:t>;</w:t>
      </w:r>
      <w:r w:rsidR="00E00739" w:rsidRPr="00B9566B">
        <w:rPr>
          <w:rFonts w:ascii="Arial" w:hAnsi="Arial" w:hint="eastAsia"/>
        </w:rPr>
        <w:t>研究为中央企业科技创新公司债</w:t>
      </w:r>
      <w:proofErr w:type="gramStart"/>
      <w:r w:rsidR="00E00739" w:rsidRPr="00B9566B">
        <w:rPr>
          <w:rFonts w:ascii="Arial" w:hAnsi="Arial" w:hint="eastAsia"/>
        </w:rPr>
        <w:t>券</w:t>
      </w:r>
      <w:proofErr w:type="gramEnd"/>
      <w:r w:rsidR="00E00739" w:rsidRPr="00B9566B">
        <w:rPr>
          <w:rFonts w:ascii="Arial" w:hAnsi="Arial" w:hint="eastAsia"/>
        </w:rPr>
        <w:t>单独设立三方回购质押</w:t>
      </w:r>
      <w:proofErr w:type="gramStart"/>
      <w:r w:rsidR="00E00739" w:rsidRPr="00B9566B">
        <w:rPr>
          <w:rFonts w:ascii="Arial" w:hAnsi="Arial" w:hint="eastAsia"/>
        </w:rPr>
        <w:t>券</w:t>
      </w:r>
      <w:proofErr w:type="gramEnd"/>
      <w:r w:rsidR="00E00739" w:rsidRPr="00B9566B">
        <w:rPr>
          <w:rFonts w:ascii="Arial" w:hAnsi="Arial" w:hint="eastAsia"/>
        </w:rPr>
        <w:t>篮子，在发行人信用资质和折扣系数等方面实行差异化管理。</w:t>
      </w:r>
    </w:p>
    <w:p w14:paraId="2852F59B" w14:textId="5F6F0911"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四</w:t>
      </w:r>
      <w:r>
        <w:rPr>
          <w:rFonts w:ascii="Arial" w:hAnsi="Arial" w:hint="eastAsia"/>
        </w:rPr>
        <w:t>）</w:t>
      </w:r>
      <w:r w:rsidR="00E00739" w:rsidRPr="00B9566B">
        <w:rPr>
          <w:rFonts w:ascii="Arial" w:hAnsi="Arial" w:hint="eastAsia"/>
        </w:rPr>
        <w:t>鼓励金融机构加大业务投入。优化监管考核，鼓励证券公司加大科技创新公司债</w:t>
      </w:r>
      <w:proofErr w:type="gramStart"/>
      <w:r w:rsidR="00E00739" w:rsidRPr="00B9566B">
        <w:rPr>
          <w:rFonts w:ascii="Arial" w:hAnsi="Arial" w:hint="eastAsia"/>
        </w:rPr>
        <w:t>券</w:t>
      </w:r>
      <w:proofErr w:type="gramEnd"/>
      <w:r w:rsidR="00E00739" w:rsidRPr="00B9566B">
        <w:rPr>
          <w:rFonts w:ascii="Arial" w:hAnsi="Arial" w:hint="eastAsia"/>
        </w:rPr>
        <w:t>承销业务投入。积极创造条件，新增专项排名及评优奖项，鼓励商业银行、社保基金、养老金、保险公司等中长期资金加大科技创新公司债</w:t>
      </w:r>
      <w:proofErr w:type="gramStart"/>
      <w:r w:rsidR="00E00739" w:rsidRPr="00B9566B">
        <w:rPr>
          <w:rFonts w:ascii="Arial" w:hAnsi="Arial" w:hint="eastAsia"/>
        </w:rPr>
        <w:t>券</w:t>
      </w:r>
      <w:proofErr w:type="gramEnd"/>
      <w:r w:rsidR="00E00739" w:rsidRPr="00B9566B">
        <w:rPr>
          <w:rFonts w:ascii="Arial" w:hAnsi="Arial" w:hint="eastAsia"/>
        </w:rPr>
        <w:t>投资，引导降低融资成本。</w:t>
      </w:r>
    </w:p>
    <w:p w14:paraId="11A50771" w14:textId="7BA39A97"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五</w:t>
      </w:r>
      <w:r>
        <w:rPr>
          <w:rFonts w:ascii="Arial" w:hAnsi="Arial" w:hint="eastAsia"/>
        </w:rPr>
        <w:t>）</w:t>
      </w:r>
      <w:r w:rsidR="00E00739" w:rsidRPr="00B9566B">
        <w:rPr>
          <w:rFonts w:ascii="Arial" w:hAnsi="Arial" w:hint="eastAsia"/>
        </w:rPr>
        <w:t>畅通信息沟通渠道。加强业务培训，开展针对中央企业发行科技创新公司债</w:t>
      </w:r>
      <w:proofErr w:type="gramStart"/>
      <w:r w:rsidR="00E00739" w:rsidRPr="00B9566B">
        <w:rPr>
          <w:rFonts w:ascii="Arial" w:hAnsi="Arial" w:hint="eastAsia"/>
        </w:rPr>
        <w:t>券</w:t>
      </w:r>
      <w:proofErr w:type="gramEnd"/>
      <w:r w:rsidR="00E00739" w:rsidRPr="00B9566B">
        <w:rPr>
          <w:rFonts w:ascii="Arial" w:hAnsi="Arial" w:hint="eastAsia"/>
        </w:rPr>
        <w:t>的专题调研，梳理痛点、难点、堵点，广泛听取意见建议，并及时调整优化。加快建立线上信息交流平台，开发“网上路演”、“债市互动”等功能，</w:t>
      </w:r>
      <w:proofErr w:type="gramStart"/>
      <w:r w:rsidR="00E00739" w:rsidRPr="00B9566B">
        <w:rPr>
          <w:rFonts w:ascii="Arial" w:hAnsi="Arial" w:hint="eastAsia"/>
        </w:rPr>
        <w:t>加强央企发行人</w:t>
      </w:r>
      <w:proofErr w:type="gramEnd"/>
      <w:r w:rsidR="00E00739" w:rsidRPr="00B9566B">
        <w:rPr>
          <w:rFonts w:ascii="Arial" w:hAnsi="Arial" w:hint="eastAsia"/>
        </w:rPr>
        <w:t>、主管部门与投资机构的沟通交流。</w:t>
      </w:r>
    </w:p>
    <w:p w14:paraId="0A5C66C9" w14:textId="77777777" w:rsidR="00E00739" w:rsidRPr="00B9566B" w:rsidRDefault="00E00739" w:rsidP="00E00739">
      <w:pPr>
        <w:rPr>
          <w:rFonts w:ascii="Arial" w:hAnsi="Arial"/>
        </w:rPr>
      </w:pPr>
    </w:p>
    <w:p w14:paraId="031B3326" w14:textId="77777777" w:rsidR="00E00739" w:rsidRPr="00B9566B" w:rsidRDefault="00E00739" w:rsidP="00E00739">
      <w:pPr>
        <w:rPr>
          <w:rFonts w:ascii="Arial" w:hAnsi="Arial"/>
          <w:b/>
          <w:bCs/>
        </w:rPr>
      </w:pPr>
      <w:r w:rsidRPr="00B9566B">
        <w:rPr>
          <w:rFonts w:ascii="Arial" w:hAnsi="Arial" w:hint="eastAsia"/>
          <w:b/>
          <w:bCs/>
        </w:rPr>
        <w:t>二、发挥中央企业创新引领支撑作用</w:t>
      </w:r>
    </w:p>
    <w:p w14:paraId="4585FC04" w14:textId="03CA2FAA"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六</w:t>
      </w:r>
      <w:r>
        <w:rPr>
          <w:rFonts w:ascii="Arial" w:hAnsi="Arial" w:hint="eastAsia"/>
        </w:rPr>
        <w:t>）</w:t>
      </w:r>
      <w:r w:rsidR="00E00739" w:rsidRPr="00B9566B">
        <w:rPr>
          <w:rFonts w:ascii="Arial" w:hAnsi="Arial" w:hint="eastAsia"/>
        </w:rPr>
        <w:t>鼓励中央企业增加研发投入。加大中央企业科技创新考核支持力度，引导中央企业加大对基础研究和应用基础研究的投入。鼓励中央企业发行科技创新公司债</w:t>
      </w:r>
      <w:proofErr w:type="gramStart"/>
      <w:r w:rsidR="00E00739" w:rsidRPr="00B9566B">
        <w:rPr>
          <w:rFonts w:ascii="Arial" w:hAnsi="Arial" w:hint="eastAsia"/>
        </w:rPr>
        <w:t>券</w:t>
      </w:r>
      <w:proofErr w:type="gramEnd"/>
      <w:r w:rsidR="00E00739" w:rsidRPr="00B9566B">
        <w:rPr>
          <w:rFonts w:ascii="Arial" w:hAnsi="Arial" w:hint="eastAsia"/>
        </w:rPr>
        <w:t>融资，加速发展关键核心技术，助推数字化转型和产业结构优化升级，打通科技成果向生产力转化的“最后一公里”。</w:t>
      </w:r>
    </w:p>
    <w:p w14:paraId="4021FCAC" w14:textId="7289EA2A"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七</w:t>
      </w:r>
      <w:r>
        <w:rPr>
          <w:rFonts w:ascii="Arial" w:hAnsi="Arial" w:hint="eastAsia"/>
        </w:rPr>
        <w:t>）</w:t>
      </w:r>
      <w:r w:rsidR="00E00739" w:rsidRPr="00B9566B">
        <w:rPr>
          <w:rFonts w:ascii="Arial" w:hAnsi="Arial" w:hint="eastAsia"/>
        </w:rPr>
        <w:t>发挥中央企业“链长”作用。支持中央企业积极发挥产业链“核心”企业作用，借助科技创新公司债</w:t>
      </w:r>
      <w:proofErr w:type="gramStart"/>
      <w:r w:rsidR="00E00739" w:rsidRPr="00B9566B">
        <w:rPr>
          <w:rFonts w:ascii="Arial" w:hAnsi="Arial" w:hint="eastAsia"/>
        </w:rPr>
        <w:t>券</w:t>
      </w:r>
      <w:proofErr w:type="gramEnd"/>
      <w:r w:rsidR="00E00739" w:rsidRPr="00B9566B">
        <w:rPr>
          <w:rFonts w:ascii="Arial" w:hAnsi="Arial" w:hint="eastAsia"/>
        </w:rPr>
        <w:t>等融资工具汇聚资金，通过权益出资、供应</w:t>
      </w:r>
      <w:proofErr w:type="gramStart"/>
      <w:r w:rsidR="00E00739" w:rsidRPr="00B9566B">
        <w:rPr>
          <w:rFonts w:ascii="Arial" w:hAnsi="Arial" w:hint="eastAsia"/>
        </w:rPr>
        <w:t>链金融</w:t>
      </w:r>
      <w:proofErr w:type="gramEnd"/>
      <w:r w:rsidR="00E00739" w:rsidRPr="00B9566B">
        <w:rPr>
          <w:rFonts w:ascii="Arial" w:hAnsi="Arial" w:hint="eastAsia"/>
        </w:rPr>
        <w:t>等方式，支持上下游符合国</w:t>
      </w:r>
      <w:r w:rsidR="00E00739" w:rsidRPr="00B9566B">
        <w:rPr>
          <w:rFonts w:ascii="Arial" w:hAnsi="Arial" w:hint="eastAsia"/>
        </w:rPr>
        <w:lastRenderedPageBreak/>
        <w:t>家战略、有技术优势、有发展潜力的中小企业创新发展，共同推动关键核心技术攻关、培育战略性新兴产业，服务产业转型升级。</w:t>
      </w:r>
    </w:p>
    <w:p w14:paraId="72E72D72" w14:textId="21EC1508"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八</w:t>
      </w:r>
      <w:r>
        <w:rPr>
          <w:rFonts w:ascii="Arial" w:hAnsi="Arial" w:hint="eastAsia"/>
        </w:rPr>
        <w:t>）</w:t>
      </w:r>
      <w:r w:rsidR="00E00739" w:rsidRPr="00B9566B">
        <w:rPr>
          <w:rFonts w:ascii="Arial" w:hAnsi="Arial" w:hint="eastAsia"/>
        </w:rPr>
        <w:t>加强科技创新债券融资规范管理。指导中央企业加强内部资金监管，确保科技创新项目的债券募集资金按要求规范管理和使用。</w:t>
      </w:r>
      <w:proofErr w:type="gramStart"/>
      <w:r w:rsidR="00E00739" w:rsidRPr="00B9566B">
        <w:rPr>
          <w:rFonts w:ascii="Arial" w:hAnsi="Arial" w:hint="eastAsia"/>
        </w:rPr>
        <w:t>优化科创</w:t>
      </w:r>
      <w:proofErr w:type="gramEnd"/>
      <w:r w:rsidR="00E00739" w:rsidRPr="00B9566B">
        <w:rPr>
          <w:rFonts w:ascii="Arial" w:hAnsi="Arial" w:hint="eastAsia"/>
        </w:rPr>
        <w:t>融资决议程序，适当下放科技创新公司债</w:t>
      </w:r>
      <w:proofErr w:type="gramStart"/>
      <w:r w:rsidR="00E00739" w:rsidRPr="00B9566B">
        <w:rPr>
          <w:rFonts w:ascii="Arial" w:hAnsi="Arial" w:hint="eastAsia"/>
        </w:rPr>
        <w:t>券</w:t>
      </w:r>
      <w:proofErr w:type="gramEnd"/>
      <w:r w:rsidR="00E00739" w:rsidRPr="00B9566B">
        <w:rPr>
          <w:rFonts w:ascii="Arial" w:hAnsi="Arial" w:hint="eastAsia"/>
        </w:rPr>
        <w:t>发行决策事项，探索取消科技创新公司债</w:t>
      </w:r>
      <w:proofErr w:type="gramStart"/>
      <w:r w:rsidR="00E00739" w:rsidRPr="00B9566B">
        <w:rPr>
          <w:rFonts w:ascii="Arial" w:hAnsi="Arial" w:hint="eastAsia"/>
        </w:rPr>
        <w:t>券</w:t>
      </w:r>
      <w:proofErr w:type="gramEnd"/>
      <w:r w:rsidR="00E00739" w:rsidRPr="00B9566B">
        <w:rPr>
          <w:rFonts w:ascii="Arial" w:hAnsi="Arial" w:hint="eastAsia"/>
        </w:rPr>
        <w:t>注册额度限制，充分</w:t>
      </w:r>
      <w:proofErr w:type="gramStart"/>
      <w:r w:rsidR="00E00739" w:rsidRPr="00B9566B">
        <w:rPr>
          <w:rFonts w:ascii="Arial" w:hAnsi="Arial" w:hint="eastAsia"/>
        </w:rPr>
        <w:t>发挥科创</w:t>
      </w:r>
      <w:proofErr w:type="gramEnd"/>
      <w:r w:rsidR="00E00739" w:rsidRPr="00B9566B">
        <w:rPr>
          <w:rFonts w:ascii="Arial" w:hAnsi="Arial" w:hint="eastAsia"/>
        </w:rPr>
        <w:t>企业在项目投融资决策方面的主体作用。探索在管控中央企业债券占带息负债比重时将科技创新公司债</w:t>
      </w:r>
      <w:proofErr w:type="gramStart"/>
      <w:r w:rsidR="00E00739" w:rsidRPr="00B9566B">
        <w:rPr>
          <w:rFonts w:ascii="Arial" w:hAnsi="Arial" w:hint="eastAsia"/>
        </w:rPr>
        <w:t>券</w:t>
      </w:r>
      <w:proofErr w:type="gramEnd"/>
      <w:r w:rsidR="00E00739" w:rsidRPr="00B9566B">
        <w:rPr>
          <w:rFonts w:ascii="Arial" w:hAnsi="Arial" w:hint="eastAsia"/>
        </w:rPr>
        <w:t>按一定比例剔除。</w:t>
      </w:r>
    </w:p>
    <w:p w14:paraId="29C75BE3" w14:textId="77777777" w:rsidR="00E00739" w:rsidRPr="00B9566B" w:rsidRDefault="00E00739" w:rsidP="00E00739">
      <w:pPr>
        <w:rPr>
          <w:rFonts w:ascii="Arial" w:hAnsi="Arial"/>
        </w:rPr>
      </w:pPr>
      <w:r w:rsidRPr="00B9566B">
        <w:rPr>
          <w:rFonts w:ascii="Arial" w:hAnsi="Arial" w:hint="eastAsia"/>
        </w:rPr>
        <w:t>中央企业要根据科技创新实际需要，加强融资规划，合理安排债券融资，强化资产负债约束，证监会、国资委对中央企业公司债券融资及资金使用情况加强监督管理。</w:t>
      </w:r>
    </w:p>
    <w:p w14:paraId="601CD57A" w14:textId="1D95EDD0"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九</w:t>
      </w:r>
      <w:r>
        <w:rPr>
          <w:rFonts w:ascii="Arial" w:hAnsi="Arial" w:hint="eastAsia"/>
        </w:rPr>
        <w:t>）</w:t>
      </w:r>
      <w:r w:rsidR="00E00739" w:rsidRPr="00B9566B">
        <w:rPr>
          <w:rFonts w:ascii="Arial" w:hAnsi="Arial" w:hint="eastAsia"/>
        </w:rPr>
        <w:t>拓宽科技创新资金供给渠道。鼓励中央企业产业基金和创业投资基金发行科技创新公司债</w:t>
      </w:r>
      <w:proofErr w:type="gramStart"/>
      <w:r w:rsidR="00E00739" w:rsidRPr="00B9566B">
        <w:rPr>
          <w:rFonts w:ascii="Arial" w:hAnsi="Arial" w:hint="eastAsia"/>
        </w:rPr>
        <w:t>券</w:t>
      </w:r>
      <w:proofErr w:type="gramEnd"/>
      <w:r w:rsidR="00E00739" w:rsidRPr="00B9566B">
        <w:rPr>
          <w:rFonts w:ascii="Arial" w:hAnsi="Arial" w:hint="eastAsia"/>
        </w:rPr>
        <w:t>，募资用于对国家重点支持的科技创新领域企业进行股权投资。鼓励中央企业建设创新要素集聚能力突出</w:t>
      </w:r>
      <w:proofErr w:type="gramStart"/>
      <w:r w:rsidR="00E00739" w:rsidRPr="00B9566B">
        <w:rPr>
          <w:rFonts w:ascii="Arial" w:hAnsi="Arial" w:hint="eastAsia"/>
        </w:rPr>
        <w:t>的科创孵化</w:t>
      </w:r>
      <w:proofErr w:type="gramEnd"/>
      <w:r w:rsidR="00E00739" w:rsidRPr="00B9566B">
        <w:rPr>
          <w:rFonts w:ascii="Arial" w:hAnsi="Arial" w:hint="eastAsia"/>
        </w:rPr>
        <w:t>园区，发行科技创新公司债</w:t>
      </w:r>
      <w:proofErr w:type="gramStart"/>
      <w:r w:rsidR="00E00739" w:rsidRPr="00B9566B">
        <w:rPr>
          <w:rFonts w:ascii="Arial" w:hAnsi="Arial" w:hint="eastAsia"/>
        </w:rPr>
        <w:t>券</w:t>
      </w:r>
      <w:proofErr w:type="gramEnd"/>
      <w:r w:rsidR="00E00739" w:rsidRPr="00B9566B">
        <w:rPr>
          <w:rFonts w:ascii="Arial" w:hAnsi="Arial" w:hint="eastAsia"/>
        </w:rPr>
        <w:t>支持园区运营，并通过股权、债权和基金等方式支持园区内科创企业，带动相关产业链向高端转移。</w:t>
      </w:r>
    </w:p>
    <w:p w14:paraId="4D368422" w14:textId="3B63A252"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十</w:t>
      </w:r>
      <w:r>
        <w:rPr>
          <w:rFonts w:ascii="Arial" w:hAnsi="Arial" w:hint="eastAsia"/>
        </w:rPr>
        <w:t>）</w:t>
      </w:r>
      <w:proofErr w:type="gramStart"/>
      <w:r w:rsidR="00E00739" w:rsidRPr="00B9566B">
        <w:rPr>
          <w:rFonts w:ascii="Arial" w:hAnsi="Arial" w:hint="eastAsia"/>
        </w:rPr>
        <w:t>鼓励央企子公司</w:t>
      </w:r>
      <w:proofErr w:type="gramEnd"/>
      <w:r w:rsidR="00E00739" w:rsidRPr="00B9566B">
        <w:rPr>
          <w:rFonts w:ascii="Arial" w:hAnsi="Arial" w:hint="eastAsia"/>
        </w:rPr>
        <w:t>发行科技创新公司债</w:t>
      </w:r>
      <w:proofErr w:type="gramStart"/>
      <w:r w:rsidR="00E00739" w:rsidRPr="00B9566B">
        <w:rPr>
          <w:rFonts w:ascii="Arial" w:hAnsi="Arial" w:hint="eastAsia"/>
        </w:rPr>
        <w:t>券</w:t>
      </w:r>
      <w:proofErr w:type="gramEnd"/>
      <w:r w:rsidR="00E00739" w:rsidRPr="00B9566B">
        <w:rPr>
          <w:rFonts w:ascii="Arial" w:hAnsi="Arial" w:hint="eastAsia"/>
        </w:rPr>
        <w:t>。子公司作为中央企业在特定细分领域的科技创新实践者，可探索利用资产担保、无形资产质押或者由中央企业集团提供外部增信等方式发行科技创新公司债</w:t>
      </w:r>
      <w:proofErr w:type="gramStart"/>
      <w:r w:rsidR="00E00739" w:rsidRPr="00B9566B">
        <w:rPr>
          <w:rFonts w:ascii="Arial" w:hAnsi="Arial" w:hint="eastAsia"/>
        </w:rPr>
        <w:t>券</w:t>
      </w:r>
      <w:proofErr w:type="gramEnd"/>
      <w:r w:rsidR="00E00739" w:rsidRPr="00B9566B">
        <w:rPr>
          <w:rFonts w:ascii="Arial" w:hAnsi="Arial" w:hint="eastAsia"/>
        </w:rPr>
        <w:t>，自主筹划科技创新投资资金安排，直接推动核心技术攻关、促进产业转型升级。积极支持符合条件的持续发行科技创新公司债</w:t>
      </w:r>
      <w:proofErr w:type="gramStart"/>
      <w:r w:rsidR="00E00739" w:rsidRPr="00B9566B">
        <w:rPr>
          <w:rFonts w:ascii="Arial" w:hAnsi="Arial" w:hint="eastAsia"/>
        </w:rPr>
        <w:t>券</w:t>
      </w:r>
      <w:proofErr w:type="gramEnd"/>
      <w:r w:rsidR="00E00739" w:rsidRPr="00B9566B">
        <w:rPr>
          <w:rFonts w:ascii="Arial" w:hAnsi="Arial" w:hint="eastAsia"/>
        </w:rPr>
        <w:t>融资</w:t>
      </w:r>
      <w:proofErr w:type="gramStart"/>
      <w:r w:rsidR="00E00739" w:rsidRPr="00B9566B">
        <w:rPr>
          <w:rFonts w:ascii="Arial" w:hAnsi="Arial" w:hint="eastAsia"/>
        </w:rPr>
        <w:t>的央企</w:t>
      </w:r>
      <w:proofErr w:type="gramEnd"/>
      <w:r w:rsidR="00E00739" w:rsidRPr="00B9566B">
        <w:rPr>
          <w:rFonts w:ascii="Arial" w:hAnsi="Arial" w:hint="eastAsia"/>
        </w:rPr>
        <w:t>子公司上市融资。</w:t>
      </w:r>
    </w:p>
    <w:p w14:paraId="3F77EBE3" w14:textId="3D60CEBF"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十一</w:t>
      </w:r>
      <w:r>
        <w:rPr>
          <w:rFonts w:ascii="Arial" w:hAnsi="Arial" w:hint="eastAsia"/>
        </w:rPr>
        <w:t>）</w:t>
      </w:r>
      <w:r w:rsidR="00E00739" w:rsidRPr="00B9566B">
        <w:rPr>
          <w:rFonts w:ascii="Arial" w:hAnsi="Arial" w:hint="eastAsia"/>
        </w:rPr>
        <w:t>支持中央企业开展基础设施</w:t>
      </w:r>
      <w:r w:rsidR="00E00739" w:rsidRPr="00B9566B">
        <w:rPr>
          <w:rFonts w:ascii="Arial" w:hAnsi="Arial" w:hint="eastAsia"/>
        </w:rPr>
        <w:t>REITs</w:t>
      </w:r>
      <w:r w:rsidR="00E00739" w:rsidRPr="00B9566B">
        <w:rPr>
          <w:rFonts w:ascii="Arial" w:hAnsi="Arial" w:hint="eastAsia"/>
        </w:rPr>
        <w:t>试点。重点支持交通、能源、水利、生态环保及</w:t>
      </w:r>
      <w:r w:rsidR="00E00739" w:rsidRPr="00B9566B">
        <w:rPr>
          <w:rFonts w:ascii="Arial" w:hAnsi="Arial" w:hint="eastAsia"/>
        </w:rPr>
        <w:t>5G</w:t>
      </w:r>
      <w:r w:rsidR="00E00739" w:rsidRPr="00B9566B">
        <w:rPr>
          <w:rFonts w:ascii="Arial" w:hAnsi="Arial" w:hint="eastAsia"/>
        </w:rPr>
        <w:t>、工业互联网等新型基础设施项目发行</w:t>
      </w:r>
      <w:r w:rsidR="00E00739" w:rsidRPr="00B9566B">
        <w:rPr>
          <w:rFonts w:ascii="Arial" w:hAnsi="Arial" w:hint="eastAsia"/>
        </w:rPr>
        <w:t>REITs</w:t>
      </w:r>
      <w:r w:rsidR="00E00739" w:rsidRPr="00B9566B">
        <w:rPr>
          <w:rFonts w:ascii="Arial" w:hAnsi="Arial" w:hint="eastAsia"/>
        </w:rPr>
        <w:t>，鼓励回收资金用于科技创新领域投资，拓宽增量资金来源，完善科技创新融资支持。</w:t>
      </w:r>
    </w:p>
    <w:p w14:paraId="54A78C89" w14:textId="77777777" w:rsidR="00E00739" w:rsidRPr="00B9566B" w:rsidRDefault="00E00739" w:rsidP="00E00739">
      <w:pPr>
        <w:rPr>
          <w:rFonts w:ascii="Arial" w:hAnsi="Arial"/>
        </w:rPr>
      </w:pPr>
    </w:p>
    <w:p w14:paraId="76A12DA4" w14:textId="77777777" w:rsidR="00E00739" w:rsidRPr="00B9566B" w:rsidRDefault="00E00739" w:rsidP="00E00739">
      <w:pPr>
        <w:rPr>
          <w:rFonts w:ascii="Arial" w:hAnsi="Arial"/>
          <w:b/>
          <w:bCs/>
        </w:rPr>
      </w:pPr>
      <w:r w:rsidRPr="00B9566B">
        <w:rPr>
          <w:rFonts w:ascii="Arial" w:hAnsi="Arial" w:hint="eastAsia"/>
          <w:b/>
          <w:bCs/>
        </w:rPr>
        <w:t>三、增强促进实体经济创新发展合力</w:t>
      </w:r>
    </w:p>
    <w:p w14:paraId="2060E60A" w14:textId="7A5CCAF3"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十二</w:t>
      </w:r>
      <w:r>
        <w:rPr>
          <w:rFonts w:ascii="Arial" w:hAnsi="Arial" w:hint="eastAsia"/>
        </w:rPr>
        <w:t>）</w:t>
      </w:r>
      <w:r w:rsidR="00E00739" w:rsidRPr="00B9566B">
        <w:rPr>
          <w:rFonts w:ascii="Arial" w:hAnsi="Arial" w:hint="eastAsia"/>
        </w:rPr>
        <w:t>证监会及派出机构坚持监管与服务并举，密切跟踪中央企业科技创新公司债</w:t>
      </w:r>
      <w:proofErr w:type="gramStart"/>
      <w:r w:rsidR="00E00739" w:rsidRPr="00B9566B">
        <w:rPr>
          <w:rFonts w:ascii="Arial" w:hAnsi="Arial" w:hint="eastAsia"/>
        </w:rPr>
        <w:t>券</w:t>
      </w:r>
      <w:proofErr w:type="gramEnd"/>
      <w:r w:rsidR="00E00739" w:rsidRPr="00B9566B">
        <w:rPr>
          <w:rFonts w:ascii="Arial" w:hAnsi="Arial" w:hint="eastAsia"/>
        </w:rPr>
        <w:t>发行情况，在依法合</w:t>
      </w:r>
      <w:proofErr w:type="gramStart"/>
      <w:r w:rsidR="00E00739" w:rsidRPr="00B9566B">
        <w:rPr>
          <w:rFonts w:ascii="Arial" w:hAnsi="Arial" w:hint="eastAsia"/>
        </w:rPr>
        <w:t>规</w:t>
      </w:r>
      <w:proofErr w:type="gramEnd"/>
      <w:r w:rsidR="00E00739" w:rsidRPr="00B9566B">
        <w:rPr>
          <w:rFonts w:ascii="Arial" w:hAnsi="Arial" w:hint="eastAsia"/>
        </w:rPr>
        <w:t>做好监管工作的同时，提高服务供给质量。证券交易所发挥市场组织功能，持续优化中央</w:t>
      </w:r>
      <w:proofErr w:type="gramStart"/>
      <w:r w:rsidR="00E00739" w:rsidRPr="00B9566B">
        <w:rPr>
          <w:rFonts w:ascii="Arial" w:hAnsi="Arial" w:hint="eastAsia"/>
        </w:rPr>
        <w:t>企业科创融资</w:t>
      </w:r>
      <w:proofErr w:type="gramEnd"/>
      <w:r w:rsidR="00E00739" w:rsidRPr="00B9566B">
        <w:rPr>
          <w:rFonts w:ascii="Arial" w:hAnsi="Arial" w:hint="eastAsia"/>
        </w:rPr>
        <w:t>推进安排和服务效能。证券业协会、基金业协会履行自律规范职责，积极引导证券基金经营机构加大对科技创新公司债</w:t>
      </w:r>
      <w:proofErr w:type="gramStart"/>
      <w:r w:rsidR="00E00739" w:rsidRPr="00B9566B">
        <w:rPr>
          <w:rFonts w:ascii="Arial" w:hAnsi="Arial" w:hint="eastAsia"/>
        </w:rPr>
        <w:t>券</w:t>
      </w:r>
      <w:proofErr w:type="gramEnd"/>
      <w:r w:rsidR="00E00739" w:rsidRPr="00B9566B">
        <w:rPr>
          <w:rFonts w:ascii="Arial" w:hAnsi="Arial" w:hint="eastAsia"/>
        </w:rPr>
        <w:t>的业务投入。</w:t>
      </w:r>
    </w:p>
    <w:p w14:paraId="4065D20B" w14:textId="3BDF1C22"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十三</w:t>
      </w:r>
      <w:r>
        <w:rPr>
          <w:rFonts w:ascii="Arial" w:hAnsi="Arial" w:hint="eastAsia"/>
        </w:rPr>
        <w:t>）</w:t>
      </w:r>
      <w:r w:rsidR="00E00739" w:rsidRPr="00B9566B">
        <w:rPr>
          <w:rFonts w:ascii="Arial" w:hAnsi="Arial" w:hint="eastAsia"/>
        </w:rPr>
        <w:t>国务院国资委进一步落实以管资本为主的要求，加强对中央</w:t>
      </w:r>
      <w:proofErr w:type="gramStart"/>
      <w:r w:rsidR="00E00739" w:rsidRPr="00B9566B">
        <w:rPr>
          <w:rFonts w:ascii="Arial" w:hAnsi="Arial" w:hint="eastAsia"/>
        </w:rPr>
        <w:t>企业科创融资</w:t>
      </w:r>
      <w:proofErr w:type="gramEnd"/>
      <w:r w:rsidR="00E00739" w:rsidRPr="00B9566B">
        <w:rPr>
          <w:rFonts w:ascii="Arial" w:hAnsi="Arial" w:hint="eastAsia"/>
        </w:rPr>
        <w:t>的政策引导、市场组织、项目推介，不断优化对中央企业创新发展的评价机制，切实提高监管效能。与证监会等金融监管部门加强中央</w:t>
      </w:r>
      <w:proofErr w:type="gramStart"/>
      <w:r w:rsidR="00E00739" w:rsidRPr="00B9566B">
        <w:rPr>
          <w:rFonts w:ascii="Arial" w:hAnsi="Arial" w:hint="eastAsia"/>
        </w:rPr>
        <w:t>企业科创融资</w:t>
      </w:r>
      <w:proofErr w:type="gramEnd"/>
      <w:r w:rsidR="00E00739" w:rsidRPr="00B9566B">
        <w:rPr>
          <w:rFonts w:ascii="Arial" w:hAnsi="Arial" w:hint="eastAsia"/>
        </w:rPr>
        <w:t>政策协同，支持中央企业利用资本市场实现创新发展。</w:t>
      </w:r>
    </w:p>
    <w:p w14:paraId="1D37C39E" w14:textId="3A243B0A" w:rsidR="00E00739" w:rsidRPr="00B9566B" w:rsidRDefault="00B13FB7" w:rsidP="00E00739">
      <w:pPr>
        <w:rPr>
          <w:rFonts w:ascii="Arial" w:hAnsi="Arial"/>
        </w:rPr>
      </w:pPr>
      <w:r>
        <w:rPr>
          <w:rFonts w:ascii="Arial" w:hAnsi="Arial" w:hint="eastAsia"/>
        </w:rPr>
        <w:t>（</w:t>
      </w:r>
      <w:r w:rsidR="00E00739" w:rsidRPr="00B9566B">
        <w:rPr>
          <w:rFonts w:ascii="Arial" w:hAnsi="Arial" w:hint="eastAsia"/>
        </w:rPr>
        <w:t>十四</w:t>
      </w:r>
      <w:r>
        <w:rPr>
          <w:rFonts w:ascii="Arial" w:hAnsi="Arial" w:hint="eastAsia"/>
        </w:rPr>
        <w:t>）</w:t>
      </w:r>
      <w:r w:rsidR="00E00739" w:rsidRPr="00B9566B">
        <w:rPr>
          <w:rFonts w:ascii="Arial" w:hAnsi="Arial" w:hint="eastAsia"/>
        </w:rPr>
        <w:t>建立联络协调机制。加强两部门在中央企业需求调研、业务培训、项目推荐与筛选等方面的合作，联合分解重点任务，明确时间表和路线图，推动各项任务落到实处，为进一步在全部国有企业范围内推动科技创新公司债</w:t>
      </w:r>
      <w:proofErr w:type="gramStart"/>
      <w:r w:rsidR="00E00739" w:rsidRPr="00B9566B">
        <w:rPr>
          <w:rFonts w:ascii="Arial" w:hAnsi="Arial" w:hint="eastAsia"/>
        </w:rPr>
        <w:t>券</w:t>
      </w:r>
      <w:proofErr w:type="gramEnd"/>
      <w:r w:rsidR="00E00739" w:rsidRPr="00B9566B">
        <w:rPr>
          <w:rFonts w:ascii="Arial" w:hAnsi="Arial" w:hint="eastAsia"/>
        </w:rPr>
        <w:t>融资积累有效经验，创造良好环境。</w:t>
      </w:r>
    </w:p>
    <w:p w14:paraId="4BF27403" w14:textId="6AD731F6" w:rsidR="00F45EEB" w:rsidRDefault="00F45EEB">
      <w:pPr>
        <w:rPr>
          <w:rFonts w:ascii="Arial" w:hAnsi="Arial"/>
        </w:rPr>
      </w:pPr>
    </w:p>
    <w:p w14:paraId="5CA48D45" w14:textId="77777777" w:rsidR="00A74C46" w:rsidRPr="00B9566B" w:rsidRDefault="00A74C46">
      <w:pPr>
        <w:rPr>
          <w:rFonts w:ascii="Arial" w:hAnsi="Arial" w:hint="eastAsia"/>
        </w:rPr>
      </w:pPr>
    </w:p>
    <w:p w14:paraId="037B0E5E" w14:textId="11E8FA85" w:rsidR="00E00739" w:rsidRPr="00B9566B" w:rsidRDefault="00E00739">
      <w:pPr>
        <w:rPr>
          <w:rFonts w:ascii="Arial" w:hAnsi="Arial"/>
        </w:rPr>
      </w:pPr>
      <w:r w:rsidRPr="00B9566B">
        <w:rPr>
          <w:rFonts w:ascii="Arial" w:hAnsi="Arial" w:hint="eastAsia"/>
        </w:rPr>
        <w:t>信息来源：</w:t>
      </w:r>
    </w:p>
    <w:p w14:paraId="31DF6BB3" w14:textId="159B2B52" w:rsidR="00E00739" w:rsidRPr="00B9566B" w:rsidRDefault="00000000">
      <w:pPr>
        <w:rPr>
          <w:rFonts w:ascii="Arial" w:hAnsi="Arial"/>
        </w:rPr>
      </w:pPr>
      <w:hyperlink r:id="rId6" w:history="1">
        <w:r w:rsidR="00E00739" w:rsidRPr="00B9566B">
          <w:rPr>
            <w:rStyle w:val="a3"/>
            <w:rFonts w:ascii="Arial" w:hAnsi="Arial"/>
          </w:rPr>
          <w:t>http://www.csrc.gov.cn/csrc/c100028/c6414576/content.shtml</w:t>
        </w:r>
      </w:hyperlink>
    </w:p>
    <w:p w14:paraId="41BF78CD" w14:textId="77777777" w:rsidR="00E00739" w:rsidRPr="00B9566B" w:rsidRDefault="00E00739">
      <w:pPr>
        <w:rPr>
          <w:rFonts w:ascii="Arial" w:hAnsi="Arial"/>
        </w:rPr>
      </w:pPr>
    </w:p>
    <w:sectPr w:rsidR="00E00739" w:rsidRPr="00B9566B" w:rsidSect="00A74C46">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3C57" w14:textId="77777777" w:rsidR="001B7BA5" w:rsidRDefault="001B7BA5" w:rsidP="00B9566B">
      <w:pPr>
        <w:spacing w:line="240" w:lineRule="auto"/>
      </w:pPr>
      <w:r>
        <w:separator/>
      </w:r>
    </w:p>
  </w:endnote>
  <w:endnote w:type="continuationSeparator" w:id="0">
    <w:p w14:paraId="79EE6564" w14:textId="77777777" w:rsidR="001B7BA5" w:rsidRDefault="001B7BA5" w:rsidP="00B95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1C99" w14:textId="77777777" w:rsidR="001B7BA5" w:rsidRDefault="001B7BA5" w:rsidP="00B9566B">
      <w:pPr>
        <w:spacing w:line="240" w:lineRule="auto"/>
      </w:pPr>
      <w:r>
        <w:separator/>
      </w:r>
    </w:p>
  </w:footnote>
  <w:footnote w:type="continuationSeparator" w:id="0">
    <w:p w14:paraId="0B6CB3BC" w14:textId="77777777" w:rsidR="001B7BA5" w:rsidRDefault="001B7BA5" w:rsidP="00B956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0739"/>
    <w:rsid w:val="001B7BA5"/>
    <w:rsid w:val="0026713B"/>
    <w:rsid w:val="00A74C46"/>
    <w:rsid w:val="00B13FB7"/>
    <w:rsid w:val="00B41EDF"/>
    <w:rsid w:val="00B9566B"/>
    <w:rsid w:val="00E00739"/>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B5CD2"/>
  <w15:chartTrackingRefBased/>
  <w15:docId w15:val="{A603CE68-8633-4A57-A2B2-EAF3659F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0739"/>
    <w:rPr>
      <w:color w:val="0563C1" w:themeColor="hyperlink"/>
      <w:u w:val="single"/>
    </w:rPr>
  </w:style>
  <w:style w:type="character" w:styleId="a4">
    <w:name w:val="Unresolved Mention"/>
    <w:basedOn w:val="a0"/>
    <w:uiPriority w:val="99"/>
    <w:semiHidden/>
    <w:unhideWhenUsed/>
    <w:rsid w:val="00E00739"/>
    <w:rPr>
      <w:color w:val="605E5C"/>
      <w:shd w:val="clear" w:color="auto" w:fill="E1DFDD"/>
    </w:rPr>
  </w:style>
  <w:style w:type="paragraph" w:styleId="a5">
    <w:name w:val="header"/>
    <w:basedOn w:val="a"/>
    <w:link w:val="a6"/>
    <w:uiPriority w:val="99"/>
    <w:unhideWhenUsed/>
    <w:rsid w:val="00B9566B"/>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B9566B"/>
    <w:rPr>
      <w:sz w:val="18"/>
      <w:szCs w:val="18"/>
    </w:rPr>
  </w:style>
  <w:style w:type="paragraph" w:styleId="a7">
    <w:name w:val="footer"/>
    <w:basedOn w:val="a"/>
    <w:link w:val="a8"/>
    <w:uiPriority w:val="99"/>
    <w:unhideWhenUsed/>
    <w:rsid w:val="00B9566B"/>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B956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81345">
      <w:bodyDiv w:val="1"/>
      <w:marLeft w:val="0"/>
      <w:marRight w:val="0"/>
      <w:marTop w:val="0"/>
      <w:marBottom w:val="0"/>
      <w:divBdr>
        <w:top w:val="none" w:sz="0" w:space="0" w:color="auto"/>
        <w:left w:val="none" w:sz="0" w:space="0" w:color="auto"/>
        <w:bottom w:val="none" w:sz="0" w:space="0" w:color="auto"/>
        <w:right w:val="none" w:sz="0" w:space="0" w:color="auto"/>
      </w:divBdr>
      <w:divsChild>
        <w:div w:id="2055233743">
          <w:marLeft w:val="0"/>
          <w:marRight w:val="0"/>
          <w:marTop w:val="0"/>
          <w:marBottom w:val="375"/>
          <w:divBdr>
            <w:top w:val="none" w:sz="0" w:space="0" w:color="auto"/>
            <w:left w:val="none" w:sz="0" w:space="0" w:color="auto"/>
            <w:bottom w:val="none" w:sz="0" w:space="0" w:color="auto"/>
            <w:right w:val="none" w:sz="0" w:space="0" w:color="auto"/>
          </w:divBdr>
          <w:divsChild>
            <w:div w:id="1166088250">
              <w:marLeft w:val="0"/>
              <w:marRight w:val="0"/>
              <w:marTop w:val="0"/>
              <w:marBottom w:val="0"/>
              <w:divBdr>
                <w:top w:val="none" w:sz="0" w:space="0" w:color="auto"/>
                <w:left w:val="none" w:sz="0" w:space="0" w:color="auto"/>
                <w:bottom w:val="none" w:sz="0" w:space="0" w:color="auto"/>
                <w:right w:val="none" w:sz="0" w:space="0" w:color="auto"/>
              </w:divBdr>
              <w:divsChild>
                <w:div w:id="1383863893">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 w:id="485781907">
          <w:marLeft w:val="0"/>
          <w:marRight w:val="0"/>
          <w:marTop w:val="450"/>
          <w:marBottom w:val="0"/>
          <w:divBdr>
            <w:top w:val="none" w:sz="0" w:space="0" w:color="auto"/>
            <w:left w:val="none" w:sz="0" w:space="0" w:color="auto"/>
            <w:bottom w:val="none" w:sz="0" w:space="0" w:color="auto"/>
            <w:right w:val="none" w:sz="0" w:space="0" w:color="auto"/>
          </w:divBdr>
        </w:div>
      </w:divsChild>
    </w:div>
    <w:div w:id="1441536256">
      <w:bodyDiv w:val="1"/>
      <w:marLeft w:val="0"/>
      <w:marRight w:val="0"/>
      <w:marTop w:val="0"/>
      <w:marBottom w:val="0"/>
      <w:divBdr>
        <w:top w:val="none" w:sz="0" w:space="0" w:color="auto"/>
        <w:left w:val="none" w:sz="0" w:space="0" w:color="auto"/>
        <w:bottom w:val="none" w:sz="0" w:space="0" w:color="auto"/>
        <w:right w:val="none" w:sz="0" w:space="0" w:color="auto"/>
      </w:divBdr>
      <w:divsChild>
        <w:div w:id="628753444">
          <w:marLeft w:val="0"/>
          <w:marRight w:val="0"/>
          <w:marTop w:val="0"/>
          <w:marBottom w:val="375"/>
          <w:divBdr>
            <w:top w:val="none" w:sz="0" w:space="0" w:color="auto"/>
            <w:left w:val="none" w:sz="0" w:space="0" w:color="auto"/>
            <w:bottom w:val="none" w:sz="0" w:space="0" w:color="auto"/>
            <w:right w:val="none" w:sz="0" w:space="0" w:color="auto"/>
          </w:divBdr>
          <w:divsChild>
            <w:div w:id="1954824060">
              <w:marLeft w:val="0"/>
              <w:marRight w:val="0"/>
              <w:marTop w:val="0"/>
              <w:marBottom w:val="0"/>
              <w:divBdr>
                <w:top w:val="none" w:sz="0" w:space="0" w:color="auto"/>
                <w:left w:val="none" w:sz="0" w:space="0" w:color="auto"/>
                <w:bottom w:val="none" w:sz="0" w:space="0" w:color="auto"/>
                <w:right w:val="none" w:sz="0" w:space="0" w:color="auto"/>
              </w:divBdr>
              <w:divsChild>
                <w:div w:id="1976253047">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 w:id="140498569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rc.gov.cn/csrc/c100028/c6414576/content.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2022-11-17T08:02:00Z</dcterms:created>
  <dcterms:modified xsi:type="dcterms:W3CDTF">2022-11-18T04:48:00Z</dcterms:modified>
</cp:coreProperties>
</file>