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A1EA" w14:textId="544CA011" w:rsidR="00F10AE9" w:rsidRPr="00F10AE9" w:rsidRDefault="00F10AE9" w:rsidP="005C577A">
      <w:pPr>
        <w:jc w:val="center"/>
        <w:rPr>
          <w:rFonts w:ascii="Arial" w:hAnsi="Arial"/>
        </w:rPr>
      </w:pPr>
      <w:r w:rsidRPr="00F10AE9">
        <w:rPr>
          <w:rFonts w:ascii="Arial" w:hAnsi="Arial" w:cs="Times New Roman" w:hint="eastAsia"/>
          <w:b/>
          <w:bCs/>
          <w:color w:val="E36C0A"/>
          <w:sz w:val="32"/>
          <w:szCs w:val="32"/>
        </w:rPr>
        <w:t>关于修改部分行政许可规章的决定</w:t>
      </w:r>
    </w:p>
    <w:p w14:paraId="67A5722F" w14:textId="7DFE2E6A" w:rsidR="00F10AE9" w:rsidRPr="00F10AE9" w:rsidRDefault="00326494" w:rsidP="00751864">
      <w:pPr>
        <w:jc w:val="center"/>
        <w:rPr>
          <w:rFonts w:ascii="Arial" w:hAnsi="Arial"/>
        </w:rPr>
      </w:pPr>
      <w:r>
        <w:rPr>
          <w:rFonts w:ascii="Arial" w:hAnsi="Arial" w:hint="eastAsia"/>
        </w:rPr>
        <w:t>（</w:t>
      </w:r>
      <w:r w:rsidR="00F10AE9" w:rsidRPr="00F10AE9">
        <w:rPr>
          <w:rFonts w:ascii="Arial" w:hAnsi="Arial" w:hint="eastAsia"/>
        </w:rPr>
        <w:t>2022</w:t>
      </w:r>
      <w:r w:rsidR="00F10AE9" w:rsidRPr="00F10AE9">
        <w:rPr>
          <w:rFonts w:ascii="Arial" w:hAnsi="Arial" w:hint="eastAsia"/>
        </w:rPr>
        <w:t>年</w:t>
      </w:r>
      <w:r w:rsidR="00F10AE9" w:rsidRPr="00F10AE9">
        <w:rPr>
          <w:rFonts w:ascii="Arial" w:hAnsi="Arial" w:hint="eastAsia"/>
        </w:rPr>
        <w:t>9</w:t>
      </w:r>
      <w:r w:rsidR="00F10AE9" w:rsidRPr="00F10AE9">
        <w:rPr>
          <w:rFonts w:ascii="Arial" w:hAnsi="Arial" w:hint="eastAsia"/>
        </w:rPr>
        <w:t>月</w:t>
      </w:r>
      <w:r w:rsidR="00F10AE9" w:rsidRPr="00F10AE9">
        <w:rPr>
          <w:rFonts w:ascii="Arial" w:hAnsi="Arial" w:hint="eastAsia"/>
        </w:rPr>
        <w:t>2</w:t>
      </w:r>
      <w:r w:rsidR="00F10AE9" w:rsidRPr="00F10AE9">
        <w:rPr>
          <w:rFonts w:ascii="Arial" w:hAnsi="Arial" w:hint="eastAsia"/>
        </w:rPr>
        <w:t>日中国银行保险监督管理委员会令</w:t>
      </w:r>
      <w:r w:rsidR="00F10AE9" w:rsidRPr="00F10AE9">
        <w:rPr>
          <w:rFonts w:ascii="Arial" w:hAnsi="Arial" w:hint="eastAsia"/>
        </w:rPr>
        <w:t>2022</w:t>
      </w:r>
      <w:r w:rsidR="00F10AE9" w:rsidRPr="00F10AE9">
        <w:rPr>
          <w:rFonts w:ascii="Arial" w:hAnsi="Arial" w:hint="eastAsia"/>
        </w:rPr>
        <w:t>年第</w:t>
      </w:r>
      <w:r w:rsidR="00F10AE9" w:rsidRPr="00F10AE9">
        <w:rPr>
          <w:rFonts w:ascii="Arial" w:hAnsi="Arial" w:hint="eastAsia"/>
        </w:rPr>
        <w:t>5</w:t>
      </w:r>
      <w:r w:rsidR="00F10AE9" w:rsidRPr="00F10AE9">
        <w:rPr>
          <w:rFonts w:ascii="Arial" w:hAnsi="Arial" w:hint="eastAsia"/>
        </w:rPr>
        <w:t>号公布</w:t>
      </w:r>
      <w:r w:rsidR="00F10AE9" w:rsidRPr="00F10AE9">
        <w:rPr>
          <w:rFonts w:ascii="Arial" w:hAnsi="Arial" w:hint="eastAsia"/>
        </w:rPr>
        <w:t xml:space="preserve"> </w:t>
      </w:r>
      <w:r w:rsidR="00F10AE9" w:rsidRPr="00F10AE9">
        <w:rPr>
          <w:rFonts w:ascii="Arial" w:hAnsi="Arial" w:hint="eastAsia"/>
        </w:rPr>
        <w:t>自</w:t>
      </w:r>
      <w:r w:rsidR="00F10AE9" w:rsidRPr="00F10AE9">
        <w:rPr>
          <w:rFonts w:ascii="Arial" w:hAnsi="Arial" w:hint="eastAsia"/>
        </w:rPr>
        <w:t>2022</w:t>
      </w:r>
      <w:r w:rsidR="00F10AE9" w:rsidRPr="00F10AE9">
        <w:rPr>
          <w:rFonts w:ascii="Arial" w:hAnsi="Arial" w:hint="eastAsia"/>
        </w:rPr>
        <w:t>年</w:t>
      </w:r>
      <w:r w:rsidR="00F10AE9" w:rsidRPr="00F10AE9">
        <w:rPr>
          <w:rFonts w:ascii="Arial" w:hAnsi="Arial" w:hint="eastAsia"/>
        </w:rPr>
        <w:t>10</w:t>
      </w:r>
      <w:r w:rsidR="00F10AE9" w:rsidRPr="00F10AE9">
        <w:rPr>
          <w:rFonts w:ascii="Arial" w:hAnsi="Arial" w:hint="eastAsia"/>
        </w:rPr>
        <w:t>月</w:t>
      </w:r>
      <w:r w:rsidR="00F10AE9" w:rsidRPr="00F10AE9">
        <w:rPr>
          <w:rFonts w:ascii="Arial" w:hAnsi="Arial" w:hint="eastAsia"/>
        </w:rPr>
        <w:t>8</w:t>
      </w:r>
      <w:r w:rsidR="00F10AE9" w:rsidRPr="00F10AE9">
        <w:rPr>
          <w:rFonts w:ascii="Arial" w:hAnsi="Arial" w:hint="eastAsia"/>
        </w:rPr>
        <w:t>日起施行</w:t>
      </w:r>
      <w:r>
        <w:rPr>
          <w:rFonts w:ascii="Arial" w:hAnsi="Arial" w:hint="eastAsia"/>
        </w:rPr>
        <w:t>）</w:t>
      </w:r>
    </w:p>
    <w:p w14:paraId="53816B9F" w14:textId="77777777" w:rsidR="00F10AE9" w:rsidRPr="00326494" w:rsidRDefault="00F10AE9" w:rsidP="005C577A">
      <w:pPr>
        <w:rPr>
          <w:rFonts w:ascii="Arial" w:hAnsi="Arial"/>
        </w:rPr>
      </w:pPr>
    </w:p>
    <w:p w14:paraId="511A6FBB" w14:textId="270A9F7C" w:rsidR="00F10AE9" w:rsidRPr="00F10AE9" w:rsidRDefault="00F10AE9" w:rsidP="005C577A">
      <w:pPr>
        <w:rPr>
          <w:rFonts w:ascii="Arial" w:hAnsi="Arial"/>
        </w:rPr>
      </w:pPr>
      <w:r w:rsidRPr="00F10AE9">
        <w:rPr>
          <w:rFonts w:ascii="Arial" w:hAnsi="Arial" w:hint="eastAsia"/>
        </w:rPr>
        <w:t>为进一步推进简政放权工作，优化银行业市场准入工作程序，银保监会决定对部分行政许可规章进行修改：</w:t>
      </w:r>
    </w:p>
    <w:p w14:paraId="30B71400" w14:textId="77777777" w:rsidR="00F10AE9" w:rsidRDefault="00F10AE9" w:rsidP="005C577A">
      <w:pPr>
        <w:rPr>
          <w:rFonts w:ascii="Arial" w:hAnsi="Arial"/>
        </w:rPr>
      </w:pPr>
    </w:p>
    <w:p w14:paraId="7E3D4008" w14:textId="15170F6A" w:rsidR="00F10AE9" w:rsidRPr="00F10AE9" w:rsidRDefault="00F10AE9" w:rsidP="005C577A">
      <w:pPr>
        <w:rPr>
          <w:rFonts w:ascii="Arial" w:hAnsi="Arial"/>
        </w:rPr>
      </w:pPr>
      <w:r w:rsidRPr="00F10AE9">
        <w:rPr>
          <w:rFonts w:ascii="Arial" w:hAnsi="Arial" w:hint="eastAsia"/>
        </w:rPr>
        <w:t>一、将《中国银保监会中资商业银行行政许可事项实施办法》第三条修改为：“银保监会及其派出机构依照银保监会行政许可实施程序相关规定和本办法，对中资商业银行实施行政许可。”</w:t>
      </w:r>
    </w:p>
    <w:p w14:paraId="0ECE70B7" w14:textId="77777777" w:rsidR="00F10AE9" w:rsidRPr="00F10AE9" w:rsidRDefault="00F10AE9" w:rsidP="005C577A">
      <w:pPr>
        <w:rPr>
          <w:rFonts w:ascii="Arial" w:hAnsi="Arial"/>
        </w:rPr>
      </w:pPr>
      <w:r w:rsidRPr="00F10AE9">
        <w:rPr>
          <w:rFonts w:ascii="Arial" w:hAnsi="Arial" w:hint="eastAsia"/>
        </w:rPr>
        <w:t>第五条修改为：“申请人应当按照银保监会行政许可事项申请材料目录及格式要求相关规定提交申请材料。”</w:t>
      </w:r>
    </w:p>
    <w:p w14:paraId="20C6CF0F" w14:textId="77777777" w:rsidR="00F10AE9" w:rsidRPr="00F10AE9" w:rsidRDefault="00F10AE9" w:rsidP="005C577A">
      <w:pPr>
        <w:rPr>
          <w:rFonts w:ascii="Arial" w:hAnsi="Arial"/>
        </w:rPr>
      </w:pPr>
      <w:r w:rsidRPr="00F10AE9">
        <w:rPr>
          <w:rFonts w:ascii="Arial" w:hAnsi="Arial" w:hint="eastAsia"/>
        </w:rPr>
        <w:t>删去第十条第（一）项：“（一）最近</w:t>
      </w:r>
      <w:r w:rsidRPr="00F10AE9">
        <w:rPr>
          <w:rFonts w:ascii="Arial" w:hAnsi="Arial" w:hint="eastAsia"/>
        </w:rPr>
        <w:t>1</w:t>
      </w:r>
      <w:r w:rsidRPr="00F10AE9">
        <w:rPr>
          <w:rFonts w:ascii="Arial" w:hAnsi="Arial" w:hint="eastAsia"/>
        </w:rPr>
        <w:t>年年末总资产原则上不少于</w:t>
      </w:r>
      <w:r w:rsidRPr="00F10AE9">
        <w:rPr>
          <w:rFonts w:ascii="Arial" w:hAnsi="Arial" w:hint="eastAsia"/>
        </w:rPr>
        <w:t>100</w:t>
      </w:r>
      <w:r w:rsidRPr="00F10AE9">
        <w:rPr>
          <w:rFonts w:ascii="Arial" w:hAnsi="Arial" w:hint="eastAsia"/>
        </w:rPr>
        <w:t>亿美元”。</w:t>
      </w:r>
    </w:p>
    <w:p w14:paraId="06023D3B" w14:textId="77777777" w:rsidR="00F10AE9" w:rsidRPr="00F10AE9" w:rsidRDefault="00F10AE9" w:rsidP="005C577A">
      <w:pPr>
        <w:rPr>
          <w:rFonts w:ascii="Arial" w:hAnsi="Arial"/>
        </w:rPr>
      </w:pPr>
      <w:r w:rsidRPr="00F10AE9">
        <w:rPr>
          <w:rFonts w:ascii="Arial" w:hAnsi="Arial" w:hint="eastAsia"/>
        </w:rPr>
        <w:t>第十五条第二款修改为：“城市商业银行法人机构的筹建申请，应当由发起人各方共同向拟设地省级派出机构提交，拟设地省级派出机构受理并初步审查，银保监会审查并决定。银保监会自受理之日起</w:t>
      </w:r>
      <w:r w:rsidRPr="00F10AE9">
        <w:rPr>
          <w:rFonts w:ascii="Arial" w:hAnsi="Arial" w:hint="eastAsia"/>
        </w:rPr>
        <w:t>4</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1EF3BE8D" w14:textId="77777777" w:rsidR="00F10AE9" w:rsidRPr="00F10AE9" w:rsidRDefault="00F10AE9" w:rsidP="005C577A">
      <w:pPr>
        <w:rPr>
          <w:rFonts w:ascii="Arial" w:hAnsi="Arial"/>
        </w:rPr>
      </w:pPr>
      <w:r w:rsidRPr="00F10AE9">
        <w:rPr>
          <w:rFonts w:ascii="Arial" w:hAnsi="Arial" w:hint="eastAsia"/>
        </w:rPr>
        <w:t>第三十九条第六款修改为：“投资人入股中资商业银行，应当按照银保监会有关规定，完整、真实地披露其关联关系。”</w:t>
      </w:r>
    </w:p>
    <w:p w14:paraId="07E1F0F5" w14:textId="77777777" w:rsidR="00F10AE9" w:rsidRPr="00F10AE9" w:rsidRDefault="00F10AE9" w:rsidP="005C577A">
      <w:pPr>
        <w:rPr>
          <w:rFonts w:ascii="Arial" w:hAnsi="Arial"/>
        </w:rPr>
      </w:pPr>
      <w:r w:rsidRPr="00F10AE9">
        <w:rPr>
          <w:rFonts w:ascii="Arial" w:hAnsi="Arial" w:hint="eastAsia"/>
        </w:rPr>
        <w:t>第四十八条修改为：“本节变更事项，决定机关自受理之日起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01E5904B" w14:textId="77777777" w:rsidR="00F10AE9" w:rsidRPr="00F10AE9" w:rsidRDefault="00F10AE9" w:rsidP="005C577A">
      <w:pPr>
        <w:rPr>
          <w:rFonts w:ascii="Arial" w:hAnsi="Arial"/>
        </w:rPr>
      </w:pPr>
      <w:r w:rsidRPr="00F10AE9">
        <w:rPr>
          <w:rFonts w:ascii="Arial" w:hAnsi="Arial" w:hint="eastAsia"/>
        </w:rPr>
        <w:t>第五十三条修改为：“本节变更事项，决定机关自受理之日起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5EDD43F1" w14:textId="77777777" w:rsidR="00F10AE9" w:rsidRPr="00F10AE9" w:rsidRDefault="00F10AE9" w:rsidP="005C577A">
      <w:pPr>
        <w:rPr>
          <w:rFonts w:ascii="Arial" w:hAnsi="Arial"/>
        </w:rPr>
      </w:pPr>
      <w:r w:rsidRPr="00F10AE9">
        <w:rPr>
          <w:rFonts w:ascii="Arial" w:hAnsi="Arial" w:hint="eastAsia"/>
        </w:rPr>
        <w:t>第五十七条第二款修改为：“城市商业银行解散由所在地省级派出机构受理并初步审查，银保监会审查并决定。银保监会自受理之日起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69846551" w14:textId="77777777" w:rsidR="00F10AE9" w:rsidRPr="00F10AE9" w:rsidRDefault="00F10AE9" w:rsidP="005C577A">
      <w:pPr>
        <w:rPr>
          <w:rFonts w:ascii="Arial" w:hAnsi="Arial"/>
        </w:rPr>
      </w:pPr>
      <w:r w:rsidRPr="00F10AE9">
        <w:rPr>
          <w:rFonts w:ascii="Arial" w:hAnsi="Arial" w:hint="eastAsia"/>
        </w:rPr>
        <w:t>第五十九条第三款修改为：“申请城市商业银行破产的，由所在地省级派出机构受理并初步审查，银保监会审查并决定。银保监会自受理之日起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172FD36F" w14:textId="77777777" w:rsidR="00F10AE9" w:rsidRPr="00F10AE9" w:rsidRDefault="00F10AE9" w:rsidP="005C577A">
      <w:pPr>
        <w:rPr>
          <w:rFonts w:ascii="Arial" w:hAnsi="Arial"/>
        </w:rPr>
      </w:pPr>
      <w:r w:rsidRPr="00F10AE9">
        <w:rPr>
          <w:rFonts w:ascii="Arial" w:hAnsi="Arial" w:hint="eastAsia"/>
        </w:rPr>
        <w:t>第六十三条第二款修改为：“城市商业银行申请开办外汇业务或增加外汇业务品种，由机构所在地地市级派出机构或所在城市省级派出机构受理，省级派出机构审查并决定。省级派出机构自受理之日起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20CEF83B" w14:textId="77777777" w:rsidR="00F10AE9" w:rsidRPr="00F10AE9" w:rsidRDefault="00F10AE9" w:rsidP="005C577A">
      <w:pPr>
        <w:rPr>
          <w:rFonts w:ascii="Arial" w:hAnsi="Arial"/>
        </w:rPr>
      </w:pPr>
      <w:r w:rsidRPr="00F10AE9">
        <w:rPr>
          <w:rFonts w:ascii="Arial" w:hAnsi="Arial" w:hint="eastAsia"/>
        </w:rPr>
        <w:t>第六十五条修改为：</w:t>
      </w:r>
      <w:bookmarkStart w:id="0" w:name="hmjd_error_1_0_“_“缺少成对_979"/>
      <w:bookmarkEnd w:id="0"/>
      <w:r w:rsidRPr="00F10AE9">
        <w:rPr>
          <w:rFonts w:ascii="Arial" w:hAnsi="Arial" w:hint="eastAsia"/>
        </w:rPr>
        <w:t>“国有商业银行、邮政储蓄银行、股份制商业银行申请资本工具（</w:t>
      </w:r>
      <w:bookmarkStart w:id="1" w:name="hmjd_error_2_0_含_黑马提示无建议_1008"/>
      <w:bookmarkEnd w:id="1"/>
      <w:r w:rsidRPr="00F10AE9">
        <w:rPr>
          <w:rFonts w:ascii="Arial" w:hAnsi="Arial" w:hint="eastAsia"/>
        </w:rPr>
        <w:t>含全球系统重要性银行总损失吸收能力非资本债务工具）计划发行额度，由银保监会受理、审查并决定。银保监会自受理之日起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3F15BE09" w14:textId="77777777" w:rsidR="00F10AE9" w:rsidRPr="00F10AE9" w:rsidRDefault="00F10AE9" w:rsidP="005C577A">
      <w:pPr>
        <w:rPr>
          <w:rFonts w:ascii="Arial" w:hAnsi="Arial"/>
        </w:rPr>
      </w:pPr>
      <w:r w:rsidRPr="00F10AE9">
        <w:rPr>
          <w:rFonts w:ascii="Arial" w:hAnsi="Arial" w:hint="eastAsia"/>
        </w:rPr>
        <w:t>“城市商业银行申请资本工具计划发行额度，由所在地省级派出机构受理、审查并决定。所在地省级派出机构自受理之日起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40282780" w14:textId="77777777" w:rsidR="00F10AE9" w:rsidRPr="00F10AE9" w:rsidRDefault="00F10AE9" w:rsidP="005C577A">
      <w:pPr>
        <w:rPr>
          <w:rFonts w:ascii="Arial" w:hAnsi="Arial"/>
        </w:rPr>
      </w:pPr>
      <w:bookmarkStart w:id="2" w:name="hmjd_error_1_0_“_“缺少成对_1161"/>
      <w:bookmarkEnd w:id="2"/>
      <w:r w:rsidRPr="00F10AE9">
        <w:rPr>
          <w:rFonts w:ascii="Arial" w:hAnsi="Arial" w:hint="eastAsia"/>
        </w:rPr>
        <w:t>“商业银行可在批准额度内，自主决定具体工具品种、发行时间、批次和规模，并于批准后的</w:t>
      </w:r>
      <w:r w:rsidRPr="00F10AE9">
        <w:rPr>
          <w:rFonts w:ascii="Arial" w:hAnsi="Arial" w:hint="eastAsia"/>
        </w:rPr>
        <w:t>24</w:t>
      </w:r>
      <w:r w:rsidRPr="00F10AE9">
        <w:rPr>
          <w:rFonts w:ascii="Arial" w:hAnsi="Arial" w:hint="eastAsia"/>
        </w:rPr>
        <w:t>个月内完成发行；如在</w:t>
      </w:r>
      <w:r w:rsidRPr="00F10AE9">
        <w:rPr>
          <w:rFonts w:ascii="Arial" w:hAnsi="Arial" w:hint="eastAsia"/>
        </w:rPr>
        <w:t>24</w:t>
      </w:r>
      <w:r w:rsidRPr="00F10AE9">
        <w:rPr>
          <w:rFonts w:ascii="Arial" w:hAnsi="Arial" w:hint="eastAsia"/>
        </w:rPr>
        <w:t>个月内再次提交额度申请，则原有剩余额度失效，以最新批准额度为准。</w:t>
      </w:r>
    </w:p>
    <w:p w14:paraId="5F80373C" w14:textId="77777777" w:rsidR="00F10AE9" w:rsidRPr="00F10AE9" w:rsidRDefault="00F10AE9" w:rsidP="005C577A">
      <w:pPr>
        <w:rPr>
          <w:rFonts w:ascii="Arial" w:hAnsi="Arial"/>
        </w:rPr>
      </w:pPr>
      <w:bookmarkStart w:id="3" w:name="hmjd_error_1_0_“_“缺少成对_1249"/>
      <w:bookmarkEnd w:id="3"/>
      <w:r w:rsidRPr="00F10AE9">
        <w:rPr>
          <w:rFonts w:ascii="Arial" w:hAnsi="Arial" w:hint="eastAsia"/>
        </w:rPr>
        <w:t>“国有商业银行、邮政储蓄银行、股份制商业银行应在资本工具募集发行结束后</w:t>
      </w:r>
      <w:r w:rsidRPr="00F10AE9">
        <w:rPr>
          <w:rFonts w:ascii="Arial" w:hAnsi="Arial" w:hint="eastAsia"/>
        </w:rPr>
        <w:t>10</w:t>
      </w:r>
      <w:r w:rsidRPr="00F10AE9">
        <w:rPr>
          <w:rFonts w:ascii="Arial" w:hAnsi="Arial" w:hint="eastAsia"/>
        </w:rPr>
        <w:t>日内向银保监会报告。城市商业银行应在资本工具募集发行结束后</w:t>
      </w:r>
      <w:r w:rsidRPr="00F10AE9">
        <w:rPr>
          <w:rFonts w:ascii="Arial" w:hAnsi="Arial" w:hint="eastAsia"/>
        </w:rPr>
        <w:t>10</w:t>
      </w:r>
      <w:r w:rsidRPr="00F10AE9">
        <w:rPr>
          <w:rFonts w:ascii="Arial" w:hAnsi="Arial" w:hint="eastAsia"/>
        </w:rPr>
        <w:t>日内向所在地省级派出机构报告。银保监会及省级派出机构有权对已发行的资本工具是否达到合格资本标准进行认定。</w:t>
      </w:r>
    </w:p>
    <w:p w14:paraId="54D3DB8D" w14:textId="77777777" w:rsidR="00F10AE9" w:rsidRPr="00F10AE9" w:rsidRDefault="00F10AE9" w:rsidP="005C577A">
      <w:pPr>
        <w:rPr>
          <w:rFonts w:ascii="Arial" w:hAnsi="Arial"/>
        </w:rPr>
      </w:pPr>
      <w:r w:rsidRPr="00F10AE9">
        <w:rPr>
          <w:rFonts w:ascii="Arial" w:hAnsi="Arial" w:hint="eastAsia"/>
        </w:rPr>
        <w:lastRenderedPageBreak/>
        <w:t>“国有商业银行、邮政储蓄银行、股份制商业银行应在非资本类债券募集发行结束后</w:t>
      </w:r>
      <w:r w:rsidRPr="00F10AE9">
        <w:rPr>
          <w:rFonts w:ascii="Arial" w:hAnsi="Arial" w:hint="eastAsia"/>
        </w:rPr>
        <w:t>10</w:t>
      </w:r>
      <w:r w:rsidRPr="00F10AE9">
        <w:rPr>
          <w:rFonts w:ascii="Arial" w:hAnsi="Arial" w:hint="eastAsia"/>
        </w:rPr>
        <w:t>日内向银保监会报告。城市商业银行应在非资本类债券募集发行结束后</w:t>
      </w:r>
      <w:r w:rsidRPr="00F10AE9">
        <w:rPr>
          <w:rFonts w:ascii="Arial" w:hAnsi="Arial" w:hint="eastAsia"/>
        </w:rPr>
        <w:t>10</w:t>
      </w:r>
      <w:r w:rsidRPr="00F10AE9">
        <w:rPr>
          <w:rFonts w:ascii="Arial" w:hAnsi="Arial" w:hint="eastAsia"/>
        </w:rPr>
        <w:t>日内向所在地省级派出机构报告。”</w:t>
      </w:r>
    </w:p>
    <w:p w14:paraId="5E9A997F" w14:textId="77777777" w:rsidR="00F10AE9" w:rsidRPr="00F10AE9" w:rsidRDefault="00F10AE9" w:rsidP="005C577A">
      <w:pPr>
        <w:rPr>
          <w:rFonts w:ascii="Arial" w:hAnsi="Arial"/>
        </w:rPr>
      </w:pPr>
      <w:r w:rsidRPr="00F10AE9">
        <w:rPr>
          <w:rFonts w:ascii="Arial" w:hAnsi="Arial" w:hint="eastAsia"/>
        </w:rPr>
        <w:t>第七十六条第二款修改为：“城市商业银行申请开办现行法规明确规定的其他业务和品种的，由机构所在地地市级派出机构或所在城市省级派出机构受理，省级派出机构审查并决定。省级派出机构自受理之日起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w:t>
      </w:r>
    </w:p>
    <w:p w14:paraId="6BFF7ED7" w14:textId="77777777" w:rsidR="00F10AE9" w:rsidRPr="00F10AE9" w:rsidRDefault="00F10AE9" w:rsidP="005C577A">
      <w:pPr>
        <w:rPr>
          <w:rFonts w:ascii="Arial" w:hAnsi="Arial"/>
        </w:rPr>
      </w:pPr>
      <w:r w:rsidRPr="00F10AE9">
        <w:rPr>
          <w:rFonts w:ascii="Arial" w:hAnsi="Arial" w:hint="eastAsia"/>
        </w:rPr>
        <w:t>第七十八条第二款修改为：“中资商业银行行长、副行长、行长助理、风险总监、合</w:t>
      </w:r>
      <w:proofErr w:type="gramStart"/>
      <w:r w:rsidRPr="00F10AE9">
        <w:rPr>
          <w:rFonts w:ascii="Arial" w:hAnsi="Arial" w:hint="eastAsia"/>
        </w:rPr>
        <w:t>规</w:t>
      </w:r>
      <w:proofErr w:type="gramEnd"/>
      <w:r w:rsidRPr="00F10AE9">
        <w:rPr>
          <w:rFonts w:ascii="Arial" w:hAnsi="Arial" w:hint="eastAsia"/>
        </w:rPr>
        <w:t>总监、总审计师、总会计师、首席信息官以及同职级高级管理人员，分行行长、副行长、行长助理，分行级专营机构总经理、副总经理、总经理助理等高级管理人员，须经任职资格许可。”</w:t>
      </w:r>
    </w:p>
    <w:p w14:paraId="43B1F8EA" w14:textId="77777777" w:rsidR="00F10AE9" w:rsidRPr="00F10AE9" w:rsidRDefault="00F10AE9" w:rsidP="005C577A">
      <w:pPr>
        <w:rPr>
          <w:rFonts w:ascii="Arial" w:hAnsi="Arial"/>
        </w:rPr>
      </w:pPr>
      <w:r w:rsidRPr="00F10AE9">
        <w:rPr>
          <w:rFonts w:ascii="Arial" w:hAnsi="Arial" w:hint="eastAsia"/>
        </w:rPr>
        <w:t>第七十八条增加一款，作为第五款：“中资商业银行内审部门、财务部门负责人，支行行长、专营机构分支机构负责人等其他管理人员应符合相关拟任人任职资格条件。”</w:t>
      </w:r>
    </w:p>
    <w:p w14:paraId="1DA6F7C3" w14:textId="77777777" w:rsidR="00F10AE9" w:rsidRPr="00F10AE9" w:rsidRDefault="00F10AE9" w:rsidP="005C577A">
      <w:pPr>
        <w:rPr>
          <w:rFonts w:ascii="Arial" w:hAnsi="Arial"/>
        </w:rPr>
      </w:pPr>
      <w:r w:rsidRPr="00F10AE9">
        <w:rPr>
          <w:rFonts w:ascii="Arial" w:hAnsi="Arial" w:hint="eastAsia"/>
        </w:rPr>
        <w:t>第七十八条增加一款，作为第六款：“持牌营业部总经理（负责人）的任职资格条件和程序按照同级机构负责人相关条件和程序执行。”</w:t>
      </w:r>
    </w:p>
    <w:p w14:paraId="297BA3A5" w14:textId="77777777" w:rsidR="00F10AE9" w:rsidRPr="00F10AE9" w:rsidRDefault="00F10AE9" w:rsidP="005C577A">
      <w:pPr>
        <w:rPr>
          <w:rFonts w:ascii="Arial" w:hAnsi="Arial"/>
        </w:rPr>
      </w:pPr>
      <w:r w:rsidRPr="00F10AE9">
        <w:rPr>
          <w:rFonts w:ascii="Arial" w:hAnsi="Arial" w:hint="eastAsia"/>
        </w:rPr>
        <w:t>第八十六条第（七）项修改为：“（七）拟任总审计师或内审部门负责人的，应当具备本科以上学历，取得国家或国际认可的审计专业技术高级职称（或通过国家或国际认可的会计、审计专业技术资格考试），并从事财务、会计或审计工作</w:t>
      </w:r>
      <w:r w:rsidRPr="00F10AE9">
        <w:rPr>
          <w:rFonts w:ascii="Arial" w:hAnsi="Arial" w:hint="eastAsia"/>
        </w:rPr>
        <w:t>6</w:t>
      </w:r>
      <w:r w:rsidRPr="00F10AE9">
        <w:rPr>
          <w:rFonts w:ascii="Arial" w:hAnsi="Arial" w:hint="eastAsia"/>
        </w:rPr>
        <w:t>年以上（其中从事金融工作</w:t>
      </w:r>
      <w:r w:rsidRPr="00F10AE9">
        <w:rPr>
          <w:rFonts w:ascii="Arial" w:hAnsi="Arial" w:hint="eastAsia"/>
        </w:rPr>
        <w:t>2</w:t>
      </w:r>
      <w:r w:rsidRPr="00F10AE9">
        <w:rPr>
          <w:rFonts w:ascii="Arial" w:hAnsi="Arial" w:hint="eastAsia"/>
        </w:rPr>
        <w:t>年以上）。其中，拟任内审部门负责人没有取得国家或国际认可的审计专业技术高级职称（或通过国家或国际认可的会计、审计专业技术资格考试）的，应当从事财务、会计或审计工作</w:t>
      </w:r>
      <w:r w:rsidRPr="00F10AE9">
        <w:rPr>
          <w:rFonts w:ascii="Arial" w:hAnsi="Arial" w:hint="eastAsia"/>
        </w:rPr>
        <w:t>7</w:t>
      </w:r>
      <w:r w:rsidRPr="00F10AE9">
        <w:rPr>
          <w:rFonts w:ascii="Arial" w:hAnsi="Arial" w:hint="eastAsia"/>
        </w:rPr>
        <w:t>年以上（其中从事金融工作</w:t>
      </w:r>
      <w:r w:rsidRPr="00F10AE9">
        <w:rPr>
          <w:rFonts w:ascii="Arial" w:hAnsi="Arial" w:hint="eastAsia"/>
        </w:rPr>
        <w:t>5</w:t>
      </w:r>
      <w:r w:rsidRPr="00F10AE9">
        <w:rPr>
          <w:rFonts w:ascii="Arial" w:hAnsi="Arial" w:hint="eastAsia"/>
        </w:rPr>
        <w:t>年以上）”。</w:t>
      </w:r>
    </w:p>
    <w:p w14:paraId="0741C670" w14:textId="77777777" w:rsidR="00F10AE9" w:rsidRPr="00F10AE9" w:rsidRDefault="00F10AE9" w:rsidP="005C577A">
      <w:pPr>
        <w:rPr>
          <w:rFonts w:ascii="Arial" w:hAnsi="Arial"/>
        </w:rPr>
      </w:pPr>
      <w:r w:rsidRPr="00F10AE9">
        <w:rPr>
          <w:rFonts w:ascii="Arial" w:hAnsi="Arial" w:hint="eastAsia"/>
        </w:rPr>
        <w:t>第八十六条第（八）项修改为：“（八）拟任总会计师或财务部门负责人的，应当具备本科以上学历，取得国家或国际认可的会计专业技术高级职称（或通过国家或国际认可的会计专业技术资格考试），并从事财务、会计或审计工作</w:t>
      </w:r>
      <w:r w:rsidRPr="00F10AE9">
        <w:rPr>
          <w:rFonts w:ascii="Arial" w:hAnsi="Arial" w:hint="eastAsia"/>
        </w:rPr>
        <w:t>6</w:t>
      </w:r>
      <w:r w:rsidRPr="00F10AE9">
        <w:rPr>
          <w:rFonts w:ascii="Arial" w:hAnsi="Arial" w:hint="eastAsia"/>
        </w:rPr>
        <w:t>年以上（其中从事金融工作</w:t>
      </w:r>
      <w:r w:rsidRPr="00F10AE9">
        <w:rPr>
          <w:rFonts w:ascii="Arial" w:hAnsi="Arial" w:hint="eastAsia"/>
        </w:rPr>
        <w:t>2</w:t>
      </w:r>
      <w:r w:rsidRPr="00F10AE9">
        <w:rPr>
          <w:rFonts w:ascii="Arial" w:hAnsi="Arial" w:hint="eastAsia"/>
        </w:rPr>
        <w:t>年以上）。其中，拟任财务部门负责人没有取得国家或国际认可的会计专业技术高级职称（或通过国家或国际认可的会计专业技术资格考试）的，应当从事财务、会计或审计工作</w:t>
      </w:r>
      <w:r w:rsidRPr="00F10AE9">
        <w:rPr>
          <w:rFonts w:ascii="Arial" w:hAnsi="Arial" w:hint="eastAsia"/>
        </w:rPr>
        <w:t>7</w:t>
      </w:r>
      <w:r w:rsidRPr="00F10AE9">
        <w:rPr>
          <w:rFonts w:ascii="Arial" w:hAnsi="Arial" w:hint="eastAsia"/>
        </w:rPr>
        <w:t>年以上（其中从事金融工作</w:t>
      </w:r>
      <w:r w:rsidRPr="00F10AE9">
        <w:rPr>
          <w:rFonts w:ascii="Arial" w:hAnsi="Arial" w:hint="eastAsia"/>
        </w:rPr>
        <w:t>5</w:t>
      </w:r>
      <w:r w:rsidRPr="00F10AE9">
        <w:rPr>
          <w:rFonts w:ascii="Arial" w:hAnsi="Arial" w:hint="eastAsia"/>
        </w:rPr>
        <w:t>年以上）”。</w:t>
      </w:r>
    </w:p>
    <w:p w14:paraId="016673D5" w14:textId="77777777" w:rsidR="00F10AE9" w:rsidRPr="00F10AE9" w:rsidRDefault="00F10AE9" w:rsidP="005C577A">
      <w:pPr>
        <w:rPr>
          <w:rFonts w:ascii="Arial" w:hAnsi="Arial"/>
        </w:rPr>
      </w:pPr>
      <w:r w:rsidRPr="00F10AE9">
        <w:rPr>
          <w:rFonts w:ascii="Arial" w:hAnsi="Arial" w:hint="eastAsia"/>
        </w:rPr>
        <w:t>第八十七条第（一）项修改为：“（一）拟任国有商业银行、邮政储蓄银行一级分行（直属分行）行长、副行长、行长助理，分行级专营机构总经理、副总经理、总经理助理的，应当具备本科以上学历，从事金融工作</w:t>
      </w:r>
      <w:r w:rsidRPr="00F10AE9">
        <w:rPr>
          <w:rFonts w:ascii="Arial" w:hAnsi="Arial" w:hint="eastAsia"/>
        </w:rPr>
        <w:t>6</w:t>
      </w:r>
      <w:r w:rsidRPr="00F10AE9">
        <w:rPr>
          <w:rFonts w:ascii="Arial" w:hAnsi="Arial" w:hint="eastAsia"/>
        </w:rPr>
        <w:t>年以上或从事经济工作</w:t>
      </w:r>
      <w:r w:rsidRPr="00F10AE9">
        <w:rPr>
          <w:rFonts w:ascii="Arial" w:hAnsi="Arial" w:hint="eastAsia"/>
        </w:rPr>
        <w:t>10</w:t>
      </w:r>
      <w:r w:rsidRPr="00F10AE9">
        <w:rPr>
          <w:rFonts w:ascii="Arial" w:hAnsi="Arial" w:hint="eastAsia"/>
        </w:rPr>
        <w:t>年以上（其中从事金融工作</w:t>
      </w:r>
      <w:r w:rsidRPr="00F10AE9">
        <w:rPr>
          <w:rFonts w:ascii="Arial" w:hAnsi="Arial" w:hint="eastAsia"/>
        </w:rPr>
        <w:t>3</w:t>
      </w:r>
      <w:r w:rsidRPr="00F10AE9">
        <w:rPr>
          <w:rFonts w:ascii="Arial" w:hAnsi="Arial" w:hint="eastAsia"/>
        </w:rPr>
        <w:t>年以上）”。</w:t>
      </w:r>
    </w:p>
    <w:p w14:paraId="52766E3F" w14:textId="77777777" w:rsidR="00F10AE9" w:rsidRPr="00F10AE9" w:rsidRDefault="00F10AE9" w:rsidP="005C577A">
      <w:pPr>
        <w:rPr>
          <w:rFonts w:ascii="Arial" w:hAnsi="Arial"/>
        </w:rPr>
      </w:pPr>
      <w:r w:rsidRPr="00F10AE9">
        <w:rPr>
          <w:rFonts w:ascii="Arial" w:hAnsi="Arial" w:hint="eastAsia"/>
        </w:rPr>
        <w:t>第八十七条第（三）项修改为：“（三）拟任股份制商业银行分行（异地直属支行）行长、副行长、行长助理，分行级专营机构总经理、副总经理、总经理助理的，应当具备本科以上学历，从事金融工作</w:t>
      </w:r>
      <w:r w:rsidRPr="00F10AE9">
        <w:rPr>
          <w:rFonts w:ascii="Arial" w:hAnsi="Arial" w:hint="eastAsia"/>
        </w:rPr>
        <w:t>5</w:t>
      </w:r>
      <w:r w:rsidRPr="00F10AE9">
        <w:rPr>
          <w:rFonts w:ascii="Arial" w:hAnsi="Arial" w:hint="eastAsia"/>
        </w:rPr>
        <w:t>年以上或从事经济工作</w:t>
      </w:r>
      <w:r w:rsidRPr="00F10AE9">
        <w:rPr>
          <w:rFonts w:ascii="Arial" w:hAnsi="Arial" w:hint="eastAsia"/>
        </w:rPr>
        <w:t>9</w:t>
      </w:r>
      <w:r w:rsidRPr="00F10AE9">
        <w:rPr>
          <w:rFonts w:ascii="Arial" w:hAnsi="Arial" w:hint="eastAsia"/>
        </w:rPr>
        <w:t>年以上（其中从事金融工作</w:t>
      </w:r>
      <w:r w:rsidRPr="00F10AE9">
        <w:rPr>
          <w:rFonts w:ascii="Arial" w:hAnsi="Arial" w:hint="eastAsia"/>
        </w:rPr>
        <w:t>2</w:t>
      </w:r>
      <w:r w:rsidRPr="00F10AE9">
        <w:rPr>
          <w:rFonts w:ascii="Arial" w:hAnsi="Arial" w:hint="eastAsia"/>
        </w:rPr>
        <w:t>年以上）”。</w:t>
      </w:r>
    </w:p>
    <w:p w14:paraId="247045C0" w14:textId="77777777" w:rsidR="00F10AE9" w:rsidRPr="00F10AE9" w:rsidRDefault="00F10AE9" w:rsidP="005C577A">
      <w:pPr>
        <w:rPr>
          <w:rFonts w:ascii="Arial" w:hAnsi="Arial"/>
        </w:rPr>
      </w:pPr>
      <w:r w:rsidRPr="00F10AE9">
        <w:rPr>
          <w:rFonts w:ascii="Arial" w:hAnsi="Arial" w:hint="eastAsia"/>
        </w:rPr>
        <w:t>第八十七条第（四）项修改为：“（四）拟任城市商业银行分行行长、副行长、行长助理，分行级专营机构总经理、副总经理、总经理助理的，应当具备本科以上学历，从事金融工作</w:t>
      </w:r>
      <w:r w:rsidRPr="00F10AE9">
        <w:rPr>
          <w:rFonts w:ascii="Arial" w:hAnsi="Arial" w:hint="eastAsia"/>
        </w:rPr>
        <w:t>4</w:t>
      </w:r>
      <w:r w:rsidRPr="00F10AE9">
        <w:rPr>
          <w:rFonts w:ascii="Arial" w:hAnsi="Arial" w:hint="eastAsia"/>
        </w:rPr>
        <w:t>年以上或从事经济工作</w:t>
      </w:r>
      <w:r w:rsidRPr="00F10AE9">
        <w:rPr>
          <w:rFonts w:ascii="Arial" w:hAnsi="Arial" w:hint="eastAsia"/>
        </w:rPr>
        <w:t>8</w:t>
      </w:r>
      <w:r w:rsidRPr="00F10AE9">
        <w:rPr>
          <w:rFonts w:ascii="Arial" w:hAnsi="Arial" w:hint="eastAsia"/>
        </w:rPr>
        <w:t>年以上（其中从事金融工作</w:t>
      </w:r>
      <w:r w:rsidRPr="00F10AE9">
        <w:rPr>
          <w:rFonts w:ascii="Arial" w:hAnsi="Arial" w:hint="eastAsia"/>
        </w:rPr>
        <w:t>2</w:t>
      </w:r>
      <w:r w:rsidRPr="00F10AE9">
        <w:rPr>
          <w:rFonts w:ascii="Arial" w:hAnsi="Arial" w:hint="eastAsia"/>
        </w:rPr>
        <w:t>年以上）”。</w:t>
      </w:r>
    </w:p>
    <w:p w14:paraId="0230940C" w14:textId="77777777" w:rsidR="00F10AE9" w:rsidRPr="00F10AE9" w:rsidRDefault="00F10AE9" w:rsidP="005C577A">
      <w:pPr>
        <w:rPr>
          <w:rFonts w:ascii="Arial" w:hAnsi="Arial"/>
        </w:rPr>
      </w:pPr>
      <w:r w:rsidRPr="00F10AE9">
        <w:rPr>
          <w:rFonts w:ascii="Arial" w:hAnsi="Arial" w:hint="eastAsia"/>
        </w:rPr>
        <w:t>第八十七条第（五）项修改为：“（五）拟任中资商业银行支行行长或专营机构分支机构负责人的，应当具备大专以上学历，从事金融工作</w:t>
      </w:r>
      <w:r w:rsidRPr="00F10AE9">
        <w:rPr>
          <w:rFonts w:ascii="Arial" w:hAnsi="Arial" w:hint="eastAsia"/>
        </w:rPr>
        <w:t>4</w:t>
      </w:r>
      <w:r w:rsidRPr="00F10AE9">
        <w:rPr>
          <w:rFonts w:ascii="Arial" w:hAnsi="Arial" w:hint="eastAsia"/>
        </w:rPr>
        <w:t>年以上或从事经济工作</w:t>
      </w:r>
      <w:r w:rsidRPr="00F10AE9">
        <w:rPr>
          <w:rFonts w:ascii="Arial" w:hAnsi="Arial" w:hint="eastAsia"/>
        </w:rPr>
        <w:t>8</w:t>
      </w:r>
      <w:r w:rsidRPr="00F10AE9">
        <w:rPr>
          <w:rFonts w:ascii="Arial" w:hAnsi="Arial" w:hint="eastAsia"/>
        </w:rPr>
        <w:t>年以上（其中从事金融工作</w:t>
      </w:r>
      <w:r w:rsidRPr="00F10AE9">
        <w:rPr>
          <w:rFonts w:ascii="Arial" w:hAnsi="Arial" w:hint="eastAsia"/>
        </w:rPr>
        <w:t>2</w:t>
      </w:r>
      <w:r w:rsidRPr="00F10AE9">
        <w:rPr>
          <w:rFonts w:ascii="Arial" w:hAnsi="Arial" w:hint="eastAsia"/>
        </w:rPr>
        <w:t>年以上）”。</w:t>
      </w:r>
    </w:p>
    <w:p w14:paraId="1CAC33CE" w14:textId="77777777" w:rsidR="00F10AE9" w:rsidRPr="00F10AE9" w:rsidRDefault="00F10AE9" w:rsidP="005C577A">
      <w:pPr>
        <w:rPr>
          <w:rFonts w:ascii="Arial" w:hAnsi="Arial"/>
        </w:rPr>
      </w:pPr>
      <w:r w:rsidRPr="00F10AE9">
        <w:rPr>
          <w:rFonts w:ascii="Arial" w:hAnsi="Arial" w:hint="eastAsia"/>
        </w:rPr>
        <w:lastRenderedPageBreak/>
        <w:t>第九十条修改为</w:t>
      </w:r>
      <w:r w:rsidRPr="00F10AE9">
        <w:rPr>
          <w:rFonts w:ascii="Arial" w:hAnsi="Arial" w:hint="eastAsia"/>
        </w:rPr>
        <w:t>:</w:t>
      </w:r>
      <w:r w:rsidRPr="00F10AE9">
        <w:rPr>
          <w:rFonts w:ascii="Arial" w:hAnsi="Arial" w:hint="eastAsia"/>
        </w:rPr>
        <w:t>“国有商业银行、邮政储蓄银行、股份制商业银行法人机构董事和高级管理人员的任职资格申请，由法人机构向银保监会提交，由银保监会受理、审查并决定。银保监会自受理之日起</w:t>
      </w:r>
      <w:r w:rsidRPr="00F10AE9">
        <w:rPr>
          <w:rFonts w:ascii="Arial" w:hAnsi="Arial" w:hint="eastAsia"/>
        </w:rPr>
        <w:t>30</w:t>
      </w:r>
      <w:r w:rsidRPr="00F10AE9">
        <w:rPr>
          <w:rFonts w:ascii="Arial" w:hAnsi="Arial" w:hint="eastAsia"/>
        </w:rPr>
        <w:t>日内</w:t>
      </w:r>
      <w:proofErr w:type="gramStart"/>
      <w:r w:rsidRPr="00F10AE9">
        <w:rPr>
          <w:rFonts w:ascii="Arial" w:hAnsi="Arial" w:hint="eastAsia"/>
        </w:rPr>
        <w:t>作出</w:t>
      </w:r>
      <w:proofErr w:type="gramEnd"/>
      <w:r w:rsidRPr="00F10AE9">
        <w:rPr>
          <w:rFonts w:ascii="Arial" w:hAnsi="Arial" w:hint="eastAsia"/>
        </w:rPr>
        <w:t>核准或不予核准的书面决定。”</w:t>
      </w:r>
    </w:p>
    <w:p w14:paraId="154C1618" w14:textId="77777777" w:rsidR="00F10AE9" w:rsidRPr="00F10AE9" w:rsidRDefault="00F10AE9" w:rsidP="005C577A">
      <w:pPr>
        <w:rPr>
          <w:rFonts w:ascii="Arial" w:hAnsi="Arial"/>
        </w:rPr>
      </w:pPr>
      <w:r w:rsidRPr="00F10AE9">
        <w:rPr>
          <w:rFonts w:ascii="Arial" w:hAnsi="Arial" w:hint="eastAsia"/>
        </w:rPr>
        <w:t>第九十二条第一款修改为“国有商业银行、邮政储蓄银行、股份制商业银行二级分行高级管理人员的任职资格申请，由拟任人的上级任免机构向拟任职机构所在地地市级派出机构提交，由地市级派出机构受理、审查并决定。地市级派出机构自受理之日起</w:t>
      </w:r>
      <w:r w:rsidRPr="00F10AE9">
        <w:rPr>
          <w:rFonts w:ascii="Arial" w:hAnsi="Arial" w:hint="eastAsia"/>
        </w:rPr>
        <w:t>30</w:t>
      </w:r>
      <w:r w:rsidRPr="00F10AE9">
        <w:rPr>
          <w:rFonts w:ascii="Arial" w:hAnsi="Arial" w:hint="eastAsia"/>
        </w:rPr>
        <w:t>日内</w:t>
      </w:r>
      <w:proofErr w:type="gramStart"/>
      <w:r w:rsidRPr="00F10AE9">
        <w:rPr>
          <w:rFonts w:ascii="Arial" w:hAnsi="Arial" w:hint="eastAsia"/>
        </w:rPr>
        <w:t>作出</w:t>
      </w:r>
      <w:proofErr w:type="gramEnd"/>
      <w:r w:rsidRPr="00F10AE9">
        <w:rPr>
          <w:rFonts w:ascii="Arial" w:hAnsi="Arial" w:hint="eastAsia"/>
        </w:rPr>
        <w:t>核准或不予核准的书面决定。”</w:t>
      </w:r>
    </w:p>
    <w:p w14:paraId="22F8604D" w14:textId="77777777" w:rsidR="00F10AE9" w:rsidRPr="00F10AE9" w:rsidRDefault="00F10AE9" w:rsidP="005C577A">
      <w:pPr>
        <w:rPr>
          <w:rFonts w:ascii="Arial" w:hAnsi="Arial"/>
        </w:rPr>
      </w:pPr>
      <w:r w:rsidRPr="00F10AE9">
        <w:rPr>
          <w:rFonts w:ascii="Arial" w:hAnsi="Arial" w:hint="eastAsia"/>
        </w:rPr>
        <w:t>第九十三条修改为：“城市商业银行法人机构、分行、分行级专营机构董事和高级管理人员任职资格申请，由法人机构向拟任职机构所在地地市级派出机构或所在城市省级派出机构提交，由其受理并初步审查，省级派出机构审查并决定。省级派出机构自受理之日起</w:t>
      </w:r>
      <w:r w:rsidRPr="00F10AE9">
        <w:rPr>
          <w:rFonts w:ascii="Arial" w:hAnsi="Arial" w:hint="eastAsia"/>
        </w:rPr>
        <w:t>30</w:t>
      </w:r>
      <w:r w:rsidRPr="00F10AE9">
        <w:rPr>
          <w:rFonts w:ascii="Arial" w:hAnsi="Arial" w:hint="eastAsia"/>
        </w:rPr>
        <w:t>日内</w:t>
      </w:r>
      <w:proofErr w:type="gramStart"/>
      <w:r w:rsidRPr="00F10AE9">
        <w:rPr>
          <w:rFonts w:ascii="Arial" w:hAnsi="Arial" w:hint="eastAsia"/>
        </w:rPr>
        <w:t>作出</w:t>
      </w:r>
      <w:proofErr w:type="gramEnd"/>
      <w:r w:rsidRPr="00F10AE9">
        <w:rPr>
          <w:rFonts w:ascii="Arial" w:hAnsi="Arial" w:hint="eastAsia"/>
        </w:rPr>
        <w:t>核准或不予核准的书面决定。”</w:t>
      </w:r>
    </w:p>
    <w:p w14:paraId="2D932BB0" w14:textId="77777777" w:rsidR="00F10AE9" w:rsidRPr="00F10AE9" w:rsidRDefault="00F10AE9" w:rsidP="005C577A">
      <w:pPr>
        <w:rPr>
          <w:rFonts w:ascii="Arial" w:hAnsi="Arial"/>
        </w:rPr>
      </w:pPr>
      <w:r w:rsidRPr="00F10AE9">
        <w:rPr>
          <w:rFonts w:ascii="Arial" w:hAnsi="Arial" w:hint="eastAsia"/>
        </w:rPr>
        <w:t>第九十三条后增加一条，作为第九十四条：</w:t>
      </w:r>
      <w:bookmarkStart w:id="4" w:name="hmjd_error_1_0_“_“缺少成对_3117"/>
      <w:bookmarkEnd w:id="4"/>
      <w:r w:rsidRPr="00F10AE9">
        <w:rPr>
          <w:rFonts w:ascii="Arial" w:hAnsi="Arial" w:hint="eastAsia"/>
        </w:rPr>
        <w:t>“国有商业银行、邮政储蓄银行、股份制商业银行内审部门、财务部门负责人应在任职后</w:t>
      </w:r>
      <w:r w:rsidRPr="00F10AE9">
        <w:rPr>
          <w:rFonts w:ascii="Arial" w:hAnsi="Arial" w:hint="eastAsia"/>
        </w:rPr>
        <w:t>5</w:t>
      </w:r>
      <w:r w:rsidRPr="00F10AE9">
        <w:rPr>
          <w:rFonts w:ascii="Arial" w:hAnsi="Arial" w:hint="eastAsia"/>
        </w:rPr>
        <w:t>日内向银保监会报告。城市商业银行内审部门、财务部门负责人应在任职后</w:t>
      </w:r>
      <w:r w:rsidRPr="00F10AE9">
        <w:rPr>
          <w:rFonts w:ascii="Arial" w:hAnsi="Arial" w:hint="eastAsia"/>
        </w:rPr>
        <w:t>5</w:t>
      </w:r>
      <w:r w:rsidRPr="00F10AE9">
        <w:rPr>
          <w:rFonts w:ascii="Arial" w:hAnsi="Arial" w:hint="eastAsia"/>
        </w:rPr>
        <w:t>日内向任职机构所在地地市级派出机构或所在城市省级派出机构报告。</w:t>
      </w:r>
    </w:p>
    <w:p w14:paraId="01FFBDE2" w14:textId="77777777" w:rsidR="00F10AE9" w:rsidRPr="00F10AE9" w:rsidRDefault="00F10AE9" w:rsidP="005C577A">
      <w:pPr>
        <w:rPr>
          <w:rFonts w:ascii="Arial" w:hAnsi="Arial"/>
        </w:rPr>
      </w:pPr>
      <w:bookmarkStart w:id="5" w:name="hmjd_error_1_0_“_“缺少成对_3223"/>
      <w:bookmarkEnd w:id="5"/>
      <w:r w:rsidRPr="00F10AE9">
        <w:rPr>
          <w:rFonts w:ascii="Arial" w:hAnsi="Arial" w:hint="eastAsia"/>
        </w:rPr>
        <w:t>“中资商业银行支行行长、专营机构分支机构负责人等其他管理人员应在任职后</w:t>
      </w:r>
      <w:r w:rsidRPr="00F10AE9">
        <w:rPr>
          <w:rFonts w:ascii="Arial" w:hAnsi="Arial" w:hint="eastAsia"/>
        </w:rPr>
        <w:t>5</w:t>
      </w:r>
      <w:r w:rsidRPr="00F10AE9">
        <w:rPr>
          <w:rFonts w:ascii="Arial" w:hAnsi="Arial" w:hint="eastAsia"/>
        </w:rPr>
        <w:t>日内向任职机构所在地地市级派出机构或所在城市省级派出机构报告。</w:t>
      </w:r>
    </w:p>
    <w:p w14:paraId="4B242A64" w14:textId="77777777" w:rsidR="00F10AE9" w:rsidRPr="00F10AE9" w:rsidRDefault="00F10AE9" w:rsidP="005C577A">
      <w:pPr>
        <w:rPr>
          <w:rFonts w:ascii="Arial" w:hAnsi="Arial"/>
        </w:rPr>
      </w:pPr>
      <w:r w:rsidRPr="00F10AE9">
        <w:rPr>
          <w:rFonts w:ascii="Arial" w:hAnsi="Arial" w:hint="eastAsia"/>
        </w:rPr>
        <w:t>“任职人员不符合任职资格条件的，监管机构可以责令中资商业银行限期调整该任职人员。”</w:t>
      </w:r>
    </w:p>
    <w:p w14:paraId="457B2D60" w14:textId="77777777" w:rsidR="00F10AE9" w:rsidRPr="00F10AE9" w:rsidRDefault="00F10AE9" w:rsidP="005C577A">
      <w:pPr>
        <w:rPr>
          <w:rFonts w:ascii="Arial" w:hAnsi="Arial"/>
        </w:rPr>
      </w:pPr>
      <w:r w:rsidRPr="00F10AE9">
        <w:rPr>
          <w:rFonts w:ascii="Arial" w:hAnsi="Arial" w:hint="eastAsia"/>
        </w:rPr>
        <w:t>第九十五条改为第九十六条，修改为：“拟任人曾任金融机构董事长或高级管理人员的，申请人在提交任职资格申请材料时，还应当提交该拟任人履职情况的审计报告。”</w:t>
      </w:r>
    </w:p>
    <w:p w14:paraId="21888DB3" w14:textId="77777777" w:rsidR="00F10AE9" w:rsidRPr="00F10AE9" w:rsidRDefault="00F10AE9" w:rsidP="005C577A">
      <w:pPr>
        <w:rPr>
          <w:rFonts w:ascii="Arial" w:hAnsi="Arial"/>
        </w:rPr>
      </w:pPr>
      <w:r w:rsidRPr="00F10AE9">
        <w:rPr>
          <w:rFonts w:ascii="Arial" w:hAnsi="Arial" w:hint="eastAsia"/>
        </w:rPr>
        <w:t>第九十七条改为第九十八条，第一款修改为：“中资商业银行董事长、行长、分行行长、分行级专营机构总经理，中资商业银行从境内聘请的中资商业银行境外机构董事长、行长（总经理）、代表处首席代表的任职资格未获核准前，中资商业银行应当指定符合相应任职资格条件的人员代为履职，并自指定之日起</w:t>
      </w:r>
      <w:r w:rsidRPr="00F10AE9">
        <w:rPr>
          <w:rFonts w:ascii="Arial" w:hAnsi="Arial" w:hint="eastAsia"/>
        </w:rPr>
        <w:t>3</w:t>
      </w:r>
      <w:r w:rsidRPr="00F10AE9">
        <w:rPr>
          <w:rFonts w:ascii="Arial" w:hAnsi="Arial" w:hint="eastAsia"/>
        </w:rPr>
        <w:t>日内向负责任职资格审核的机关报告。代为履职的人员不符合任职资格条件的，监管机构可以责令中资商业银行限期调整代为履职的人员。”</w:t>
      </w:r>
    </w:p>
    <w:p w14:paraId="0EB0CCFE" w14:textId="77777777" w:rsidR="00F10AE9" w:rsidRPr="00F10AE9" w:rsidRDefault="00F10AE9" w:rsidP="005C577A">
      <w:pPr>
        <w:rPr>
          <w:rFonts w:ascii="Arial" w:hAnsi="Arial"/>
        </w:rPr>
      </w:pPr>
      <w:r w:rsidRPr="00F10AE9">
        <w:rPr>
          <w:rFonts w:ascii="Arial" w:hAnsi="Arial" w:hint="eastAsia"/>
        </w:rPr>
        <w:t>第一百零三条改为第一百零四条，修改为：“中资商业银行发起人和股东除应符合本办法对于投资入股的相关规定外，还应符合银保监会关于持股比例的规定。境内外银行投资入股中资商业银行的持股比例不受限制。”</w:t>
      </w:r>
    </w:p>
    <w:p w14:paraId="2FB4F242" w14:textId="77777777" w:rsidR="00F10AE9" w:rsidRPr="00F10AE9" w:rsidRDefault="00F10AE9" w:rsidP="005C577A">
      <w:pPr>
        <w:rPr>
          <w:rFonts w:ascii="Arial" w:hAnsi="Arial"/>
        </w:rPr>
      </w:pPr>
      <w:r w:rsidRPr="00F10AE9">
        <w:rPr>
          <w:rFonts w:ascii="Arial" w:hAnsi="Arial" w:hint="eastAsia"/>
        </w:rPr>
        <w:t>第一百零四条改为第一百零五条，修改为：“本办法中的‘日’均为工作日，本办法中‘以上’均含本数或本级。”</w:t>
      </w:r>
    </w:p>
    <w:p w14:paraId="31473DB5" w14:textId="77777777" w:rsidR="00F10AE9" w:rsidRDefault="00F10AE9" w:rsidP="005C577A">
      <w:pPr>
        <w:rPr>
          <w:rFonts w:ascii="Arial" w:hAnsi="Arial"/>
        </w:rPr>
      </w:pPr>
    </w:p>
    <w:p w14:paraId="4BBE9A7A" w14:textId="3D20E03C" w:rsidR="00F10AE9" w:rsidRPr="00F10AE9" w:rsidRDefault="00F10AE9" w:rsidP="005C577A">
      <w:pPr>
        <w:rPr>
          <w:rFonts w:ascii="Arial" w:hAnsi="Arial"/>
        </w:rPr>
      </w:pPr>
      <w:r w:rsidRPr="00F10AE9">
        <w:rPr>
          <w:rFonts w:ascii="Arial" w:hAnsi="Arial" w:hint="eastAsia"/>
        </w:rPr>
        <w:t>二、将《中国银保监会农村中小银行机构行政许可事项实施办法》第八十三条修改为：</w:t>
      </w:r>
      <w:bookmarkStart w:id="6" w:name="hmjd_error_1_0_“_“缺少成对_3810"/>
      <w:r w:rsidRPr="00F10AE9">
        <w:rPr>
          <w:rFonts w:ascii="Arial" w:hAnsi="Arial" w:hint="eastAsia"/>
        </w:rPr>
        <w:t>“</w:t>
      </w:r>
      <w:bookmarkEnd w:id="6"/>
      <w:r w:rsidRPr="00F10AE9">
        <w:rPr>
          <w:rFonts w:ascii="Arial" w:hAnsi="Arial" w:hint="eastAsia"/>
        </w:rPr>
        <w:t>农村中小银行机构申请资本工具计划发行额度，由地市级派出机构或所在城市省级派出机构受理，省级派出机构审查并决定，事后报告银保监会。</w:t>
      </w:r>
    </w:p>
    <w:p w14:paraId="6A39259E" w14:textId="77777777" w:rsidR="00F10AE9" w:rsidRPr="00F10AE9" w:rsidRDefault="00F10AE9" w:rsidP="005C577A">
      <w:pPr>
        <w:rPr>
          <w:rFonts w:ascii="Arial" w:hAnsi="Arial"/>
        </w:rPr>
      </w:pPr>
      <w:bookmarkStart w:id="7" w:name="hmjd_error_1_0_“_“缺少成对_3876"/>
      <w:bookmarkEnd w:id="7"/>
      <w:r w:rsidRPr="00F10AE9">
        <w:rPr>
          <w:rFonts w:ascii="Arial" w:hAnsi="Arial" w:hint="eastAsia"/>
        </w:rPr>
        <w:t>“农村中小银行机构可在批准额度内，自主决定具体工具品种、发行时间、批次和规模，并于批准后的</w:t>
      </w:r>
      <w:r w:rsidRPr="00F10AE9">
        <w:rPr>
          <w:rFonts w:ascii="Arial" w:hAnsi="Arial" w:hint="eastAsia"/>
        </w:rPr>
        <w:t>24</w:t>
      </w:r>
      <w:r w:rsidRPr="00F10AE9">
        <w:rPr>
          <w:rFonts w:ascii="Arial" w:hAnsi="Arial" w:hint="eastAsia"/>
        </w:rPr>
        <w:t>个月内完成发行；如在</w:t>
      </w:r>
      <w:r w:rsidRPr="00F10AE9">
        <w:rPr>
          <w:rFonts w:ascii="Arial" w:hAnsi="Arial" w:hint="eastAsia"/>
        </w:rPr>
        <w:t>24</w:t>
      </w:r>
      <w:r w:rsidRPr="00F10AE9">
        <w:rPr>
          <w:rFonts w:ascii="Arial" w:hAnsi="Arial" w:hint="eastAsia"/>
        </w:rPr>
        <w:t>个月内再次提交额度申请，则原有剩余额度失效，以最新批准额度为准。</w:t>
      </w:r>
    </w:p>
    <w:p w14:paraId="2D64FC6F" w14:textId="77777777" w:rsidR="00F10AE9" w:rsidRPr="00F10AE9" w:rsidRDefault="00F10AE9" w:rsidP="005C577A">
      <w:pPr>
        <w:rPr>
          <w:rFonts w:ascii="Arial" w:hAnsi="Arial"/>
        </w:rPr>
      </w:pPr>
      <w:bookmarkStart w:id="8" w:name="hmjd_error_1_0_“_“缺少成对_3968"/>
      <w:bookmarkEnd w:id="8"/>
      <w:r w:rsidRPr="00F10AE9">
        <w:rPr>
          <w:rFonts w:ascii="Arial" w:hAnsi="Arial" w:hint="eastAsia"/>
        </w:rPr>
        <w:t>“农村中小银行机构应在资本工具募集发行结束后</w:t>
      </w:r>
      <w:r w:rsidRPr="00F10AE9">
        <w:rPr>
          <w:rFonts w:ascii="Arial" w:hAnsi="Arial" w:hint="eastAsia"/>
        </w:rPr>
        <w:t>10</w:t>
      </w:r>
      <w:r w:rsidRPr="00F10AE9">
        <w:rPr>
          <w:rFonts w:ascii="Arial" w:hAnsi="Arial" w:hint="eastAsia"/>
        </w:rPr>
        <w:t>日内向所在地省级派出机构报告。省级派出机构有权对已发行的资本工具是否达到合格资本标准进行认定。</w:t>
      </w:r>
    </w:p>
    <w:p w14:paraId="16350698" w14:textId="77777777" w:rsidR="00F10AE9" w:rsidRPr="00F10AE9" w:rsidRDefault="00F10AE9" w:rsidP="005C577A">
      <w:pPr>
        <w:rPr>
          <w:rFonts w:ascii="Arial" w:hAnsi="Arial"/>
        </w:rPr>
      </w:pPr>
      <w:r w:rsidRPr="00F10AE9">
        <w:rPr>
          <w:rFonts w:ascii="Arial" w:hAnsi="Arial" w:hint="eastAsia"/>
        </w:rPr>
        <w:t>“农村中小银行机构应在非资本类债券募集发行结束后</w:t>
      </w:r>
      <w:r w:rsidRPr="00F10AE9">
        <w:rPr>
          <w:rFonts w:ascii="Arial" w:hAnsi="Arial" w:hint="eastAsia"/>
        </w:rPr>
        <w:t>10</w:t>
      </w:r>
      <w:r w:rsidRPr="00F10AE9">
        <w:rPr>
          <w:rFonts w:ascii="Arial" w:hAnsi="Arial" w:hint="eastAsia"/>
        </w:rPr>
        <w:t>日内向所在地省级派出机构报告。”</w:t>
      </w:r>
    </w:p>
    <w:p w14:paraId="0B4AA7A6" w14:textId="77777777" w:rsidR="00F10AE9" w:rsidRPr="00F10AE9" w:rsidRDefault="00F10AE9" w:rsidP="005C577A">
      <w:pPr>
        <w:rPr>
          <w:rFonts w:ascii="Arial" w:hAnsi="Arial"/>
        </w:rPr>
      </w:pPr>
      <w:r w:rsidRPr="00F10AE9">
        <w:rPr>
          <w:rFonts w:ascii="Arial" w:hAnsi="Arial" w:hint="eastAsia"/>
        </w:rPr>
        <w:lastRenderedPageBreak/>
        <w:t>第一百零一条第二款修改为：“农村商业银行、农村合作银行、村镇银行的行长、副行长、行长助理、风险总监、财务总监、合</w:t>
      </w:r>
      <w:proofErr w:type="gramStart"/>
      <w:r w:rsidRPr="00F10AE9">
        <w:rPr>
          <w:rFonts w:ascii="Arial" w:hAnsi="Arial" w:hint="eastAsia"/>
        </w:rPr>
        <w:t>规</w:t>
      </w:r>
      <w:proofErr w:type="gramEnd"/>
      <w:r w:rsidRPr="00F10AE9">
        <w:rPr>
          <w:rFonts w:ascii="Arial" w:hAnsi="Arial" w:hint="eastAsia"/>
        </w:rPr>
        <w:t>总监、总审计师、总会计师、首席信息官以及同职级高级管理人员，农村信用合作社主任，农村信用合作社联合社、农村信用合作联社、农村信用联社的主任、副主任，省（自治区）农村信用社联合社主任、副主任、主任助理、总审计师以及同职级高级管理人员，办事处（区域审计中心）主任，贷款公司总经理，农村资金互助社经理，农村商业银行分行行长、副行长、行长助理，农村商业银行专营机构总经理、副总经理、总经理助理等高级管理人员须经任职资格许可。”</w:t>
      </w:r>
    </w:p>
    <w:p w14:paraId="4A0E4825" w14:textId="77777777" w:rsidR="00F10AE9" w:rsidRPr="00F10AE9" w:rsidRDefault="00F10AE9" w:rsidP="005C577A">
      <w:pPr>
        <w:rPr>
          <w:rFonts w:ascii="Arial" w:hAnsi="Arial"/>
        </w:rPr>
      </w:pPr>
      <w:r w:rsidRPr="00F10AE9">
        <w:rPr>
          <w:rFonts w:ascii="Arial" w:hAnsi="Arial" w:hint="eastAsia"/>
        </w:rPr>
        <w:t>第一百零一条第三款修改为：“农村商业银行、农村合作银行、村镇银行内审部门负责人、财务部门负责人、合</w:t>
      </w:r>
      <w:proofErr w:type="gramStart"/>
      <w:r w:rsidRPr="00F10AE9">
        <w:rPr>
          <w:rFonts w:ascii="Arial" w:hAnsi="Arial" w:hint="eastAsia"/>
        </w:rPr>
        <w:t>规</w:t>
      </w:r>
      <w:proofErr w:type="gramEnd"/>
      <w:r w:rsidRPr="00F10AE9">
        <w:rPr>
          <w:rFonts w:ascii="Arial" w:hAnsi="Arial" w:hint="eastAsia"/>
        </w:rPr>
        <w:t>部门负责人、营业部负责人、支行行长，省（自治区）农村信用社联合社合</w:t>
      </w:r>
      <w:proofErr w:type="gramStart"/>
      <w:r w:rsidRPr="00F10AE9">
        <w:rPr>
          <w:rFonts w:ascii="Arial" w:hAnsi="Arial" w:hint="eastAsia"/>
        </w:rPr>
        <w:t>规</w:t>
      </w:r>
      <w:proofErr w:type="gramEnd"/>
      <w:r w:rsidRPr="00F10AE9">
        <w:rPr>
          <w:rFonts w:ascii="Arial" w:hAnsi="Arial" w:hint="eastAsia"/>
        </w:rPr>
        <w:t>部门负责人，县（市、区）农村信用合作社联合社、农村信用合作联社、农村信用联社营业部负责人和信用社主任，地市农村信用合作联社、农村信用联社营业部负责人和信用社主任、副主任，农村商业银行分行营业部负责人应符合拟任人任职资格条件。”</w:t>
      </w:r>
    </w:p>
    <w:p w14:paraId="20F2A02A" w14:textId="77777777" w:rsidR="00F10AE9" w:rsidRPr="00F10AE9" w:rsidRDefault="00F10AE9" w:rsidP="005C577A">
      <w:pPr>
        <w:rPr>
          <w:rFonts w:ascii="Arial" w:hAnsi="Arial"/>
        </w:rPr>
      </w:pPr>
      <w:r w:rsidRPr="00F10AE9">
        <w:rPr>
          <w:rFonts w:ascii="Arial" w:hAnsi="Arial" w:hint="eastAsia"/>
        </w:rPr>
        <w:t>第一百一十二条第一款第（二）项修改为：“（二）地市农村商业银行副董事长、董事、董事会秘书、副行长、行长助理、风险总监、财务总监、合</w:t>
      </w:r>
      <w:proofErr w:type="gramStart"/>
      <w:r w:rsidRPr="00F10AE9">
        <w:rPr>
          <w:rFonts w:ascii="Arial" w:hAnsi="Arial" w:hint="eastAsia"/>
        </w:rPr>
        <w:t>规</w:t>
      </w:r>
      <w:proofErr w:type="gramEnd"/>
      <w:r w:rsidRPr="00F10AE9">
        <w:rPr>
          <w:rFonts w:ascii="Arial" w:hAnsi="Arial" w:hint="eastAsia"/>
        </w:rPr>
        <w:t>总监、总审计师、总会计师、首席信息官”。</w:t>
      </w:r>
    </w:p>
    <w:p w14:paraId="16F7343E" w14:textId="77777777" w:rsidR="00F10AE9" w:rsidRPr="00F10AE9" w:rsidRDefault="00F10AE9" w:rsidP="005C577A">
      <w:pPr>
        <w:rPr>
          <w:rFonts w:ascii="Arial" w:hAnsi="Arial"/>
        </w:rPr>
      </w:pPr>
      <w:r w:rsidRPr="00F10AE9">
        <w:rPr>
          <w:rFonts w:ascii="Arial" w:hAnsi="Arial" w:hint="eastAsia"/>
        </w:rPr>
        <w:t>第一百一十二条第二款修改为：“农村商业银行、农村合作银行、村镇银行内审部门负责人、财务部门负责人、合</w:t>
      </w:r>
      <w:proofErr w:type="gramStart"/>
      <w:r w:rsidRPr="00F10AE9">
        <w:rPr>
          <w:rFonts w:ascii="Arial" w:hAnsi="Arial" w:hint="eastAsia"/>
        </w:rPr>
        <w:t>规</w:t>
      </w:r>
      <w:proofErr w:type="gramEnd"/>
      <w:r w:rsidRPr="00F10AE9">
        <w:rPr>
          <w:rFonts w:ascii="Arial" w:hAnsi="Arial" w:hint="eastAsia"/>
        </w:rPr>
        <w:t>部门负责人、营业部负责人、支行行长，省（自治区）农村信用社联合社合</w:t>
      </w:r>
      <w:proofErr w:type="gramStart"/>
      <w:r w:rsidRPr="00F10AE9">
        <w:rPr>
          <w:rFonts w:ascii="Arial" w:hAnsi="Arial" w:hint="eastAsia"/>
        </w:rPr>
        <w:t>规</w:t>
      </w:r>
      <w:proofErr w:type="gramEnd"/>
      <w:r w:rsidRPr="00F10AE9">
        <w:rPr>
          <w:rFonts w:ascii="Arial" w:hAnsi="Arial" w:hint="eastAsia"/>
        </w:rPr>
        <w:t>部门负责人，县（市、区）农村信用合作社联合社、农村信用合作联社、农村信用联社营业部负责人和信用社主任，地市农村信用合作联社、农村信用联社营业部负责人和信用社主任、副主任，农村商业银行分行营业部负责人任职应报告地市级派出机构或所在城市省级派出机构。”</w:t>
      </w:r>
    </w:p>
    <w:p w14:paraId="249BDEDB" w14:textId="77777777" w:rsidR="00F10AE9" w:rsidRPr="00F10AE9" w:rsidRDefault="00F10AE9" w:rsidP="005C577A">
      <w:pPr>
        <w:rPr>
          <w:rFonts w:ascii="Arial" w:hAnsi="Arial"/>
        </w:rPr>
      </w:pPr>
      <w:r w:rsidRPr="00F10AE9">
        <w:rPr>
          <w:rFonts w:ascii="Arial" w:hAnsi="Arial" w:hint="eastAsia"/>
        </w:rPr>
        <w:t>第一百一十六条修改为：“董事（理事）和高级管理人员的任职资格谈话由决定机关或由决定机关委托受理机关进行。”</w:t>
      </w:r>
    </w:p>
    <w:p w14:paraId="0AC1311B" w14:textId="77777777" w:rsidR="00F10AE9" w:rsidRPr="00F10AE9" w:rsidRDefault="00F10AE9" w:rsidP="005C577A">
      <w:pPr>
        <w:rPr>
          <w:rFonts w:ascii="Arial" w:hAnsi="Arial"/>
        </w:rPr>
      </w:pPr>
      <w:r w:rsidRPr="00F10AE9">
        <w:rPr>
          <w:rFonts w:ascii="Arial" w:hAnsi="Arial" w:hint="eastAsia"/>
        </w:rPr>
        <w:t>第一百一十七条修改为：“拟任人现任或曾任金融机构董事长（理事长）、副董事长（副理事长）和高级管理人员的，法人机构在提交任职资格申请材料或报告时，还应提交该拟任人履职情况的审计报告。”</w:t>
      </w:r>
    </w:p>
    <w:p w14:paraId="30859F78" w14:textId="77777777" w:rsidR="00F10AE9" w:rsidRPr="00F10AE9" w:rsidRDefault="00F10AE9" w:rsidP="005C577A">
      <w:pPr>
        <w:rPr>
          <w:rFonts w:ascii="Arial" w:hAnsi="Arial"/>
        </w:rPr>
      </w:pPr>
      <w:r w:rsidRPr="00F10AE9">
        <w:rPr>
          <w:rFonts w:ascii="Arial" w:hAnsi="Arial" w:hint="eastAsia"/>
        </w:rPr>
        <w:t>第一百二十条第二款修改为：“农村商业银行、农村合作银行、村镇银行内审部门负责人、财务部门负责人、合</w:t>
      </w:r>
      <w:proofErr w:type="gramStart"/>
      <w:r w:rsidRPr="00F10AE9">
        <w:rPr>
          <w:rFonts w:ascii="Arial" w:hAnsi="Arial" w:hint="eastAsia"/>
        </w:rPr>
        <w:t>规</w:t>
      </w:r>
      <w:proofErr w:type="gramEnd"/>
      <w:r w:rsidRPr="00F10AE9">
        <w:rPr>
          <w:rFonts w:ascii="Arial" w:hAnsi="Arial" w:hint="eastAsia"/>
        </w:rPr>
        <w:t>部门负责人、营业部负责人、支行行长，省（自治区）农村信用社联合社合</w:t>
      </w:r>
      <w:proofErr w:type="gramStart"/>
      <w:r w:rsidRPr="00F10AE9">
        <w:rPr>
          <w:rFonts w:ascii="Arial" w:hAnsi="Arial" w:hint="eastAsia"/>
        </w:rPr>
        <w:t>规</w:t>
      </w:r>
      <w:proofErr w:type="gramEnd"/>
      <w:r w:rsidRPr="00F10AE9">
        <w:rPr>
          <w:rFonts w:ascii="Arial" w:hAnsi="Arial" w:hint="eastAsia"/>
        </w:rPr>
        <w:t>部门负责人，县（市、区）农村信用合作社联合社、农村信用合作联社、农村信用联社营业部负责人和信用社主任，地市农村信用合作联社、农村信用联社营业部负责人和信用社主任、副主任，农村商业银行分行营业部负责人在提交任职报告前不得到任履职，拟任人不符合任职资格条件的，监管机构可以责令农村中小银行机构限期调整任职人员。”</w:t>
      </w:r>
    </w:p>
    <w:p w14:paraId="11437D16" w14:textId="77777777" w:rsidR="00F10AE9" w:rsidRPr="00F10AE9" w:rsidRDefault="00F10AE9" w:rsidP="005C577A">
      <w:pPr>
        <w:rPr>
          <w:rFonts w:ascii="Arial" w:hAnsi="Arial"/>
        </w:rPr>
      </w:pPr>
      <w:r w:rsidRPr="00F10AE9">
        <w:rPr>
          <w:rFonts w:ascii="Arial" w:hAnsi="Arial" w:hint="eastAsia"/>
        </w:rPr>
        <w:t>三、将《中国银保监会外资银行行政许可事项实施办法》第八条第一款修改为：“本办法要求提交的资料，如要求由授权签字人签署，应当一并提交该授权签字人的授权书，但授权签字人为董事长或行长（首席执行官、总经理）的除外。”</w:t>
      </w:r>
    </w:p>
    <w:p w14:paraId="65227B33" w14:textId="77777777" w:rsidR="00F10AE9" w:rsidRPr="00F10AE9" w:rsidRDefault="00F10AE9" w:rsidP="005C577A">
      <w:pPr>
        <w:rPr>
          <w:rFonts w:ascii="Arial" w:hAnsi="Arial"/>
        </w:rPr>
      </w:pPr>
      <w:r w:rsidRPr="00F10AE9">
        <w:rPr>
          <w:rFonts w:ascii="Arial" w:hAnsi="Arial" w:hint="eastAsia"/>
        </w:rPr>
        <w:t>第四十六条第三款修改为：“银保监会或者拟设机构所在地银保监局应当自受理之日起</w:t>
      </w:r>
      <w:r w:rsidRPr="00F10AE9">
        <w:rPr>
          <w:rFonts w:ascii="Arial" w:hAnsi="Arial" w:hint="eastAsia"/>
        </w:rPr>
        <w:t>4</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批准或者不批准筹建的决定，并书面通知申请人。决定不批准的，应当说明理由。特殊情况下，银保监会或者拟设机构所在地银保监局可以适当延长审查期限，并书面通知申请人，但延长期限不得超过</w:t>
      </w:r>
      <w:r w:rsidRPr="00F10AE9">
        <w:rPr>
          <w:rFonts w:ascii="Arial" w:hAnsi="Arial" w:hint="eastAsia"/>
        </w:rPr>
        <w:t>3</w:t>
      </w:r>
      <w:r w:rsidRPr="00F10AE9">
        <w:rPr>
          <w:rFonts w:ascii="Arial" w:hAnsi="Arial" w:hint="eastAsia"/>
        </w:rPr>
        <w:t>个月。”</w:t>
      </w:r>
    </w:p>
    <w:p w14:paraId="76DD34EE" w14:textId="77777777" w:rsidR="00F10AE9" w:rsidRPr="00F10AE9" w:rsidRDefault="00F10AE9" w:rsidP="005C577A">
      <w:pPr>
        <w:rPr>
          <w:rFonts w:ascii="Arial" w:hAnsi="Arial"/>
        </w:rPr>
      </w:pPr>
      <w:r w:rsidRPr="00F10AE9">
        <w:rPr>
          <w:rFonts w:ascii="Arial" w:hAnsi="Arial" w:hint="eastAsia"/>
        </w:rPr>
        <w:lastRenderedPageBreak/>
        <w:t>第八十七条第（三）项修改为：“（三）外商独资银行股东、中外合资银行股东、外国银行所在国家或者地区金融监管机构对变更事项的批准书”。</w:t>
      </w:r>
    </w:p>
    <w:p w14:paraId="1F4493C3" w14:textId="77777777" w:rsidR="00F10AE9" w:rsidRPr="00F10AE9" w:rsidRDefault="00F10AE9" w:rsidP="005C577A">
      <w:pPr>
        <w:rPr>
          <w:rFonts w:ascii="Arial" w:hAnsi="Arial"/>
        </w:rPr>
      </w:pPr>
      <w:r w:rsidRPr="00F10AE9">
        <w:rPr>
          <w:rFonts w:ascii="Arial" w:hAnsi="Arial" w:hint="eastAsia"/>
        </w:rPr>
        <w:t>第九十九条第一款修改为：“银保监会直接监管的外商独资银行、中外合资银行申请关闭一级分行或者分行级专营机构，由银保监会受理、审查和决定。银保监会直接监管的外商独资银行、中外合资银行申请关闭二级分行，其他外商独资银行、中外合资银行申请关闭分行或者分行级专营机构，由拟关闭机构所在地银保监局受理、审查和决定。外国银行分行的关闭申请，由拟关闭机构所在地银保监局受理和初审，银保监会审查和决定。”</w:t>
      </w:r>
    </w:p>
    <w:p w14:paraId="24E558B6" w14:textId="77777777" w:rsidR="00F10AE9" w:rsidRPr="00F10AE9" w:rsidRDefault="00F10AE9" w:rsidP="005C577A">
      <w:pPr>
        <w:rPr>
          <w:rFonts w:ascii="Arial" w:hAnsi="Arial"/>
        </w:rPr>
      </w:pPr>
      <w:r w:rsidRPr="00F10AE9">
        <w:rPr>
          <w:rFonts w:ascii="Arial" w:hAnsi="Arial" w:hint="eastAsia"/>
        </w:rPr>
        <w:t>第一百一十条修改为：</w:t>
      </w:r>
      <w:bookmarkStart w:id="9" w:name="hmjd_error_1_0_“_“缺少成对_5905"/>
      <w:r w:rsidRPr="00F10AE9">
        <w:rPr>
          <w:rFonts w:ascii="Arial" w:hAnsi="Arial" w:hint="eastAsia"/>
        </w:rPr>
        <w:t>“</w:t>
      </w:r>
      <w:bookmarkEnd w:id="9"/>
      <w:r w:rsidRPr="00F10AE9">
        <w:rPr>
          <w:rFonts w:ascii="Arial" w:hAnsi="Arial" w:hint="eastAsia"/>
        </w:rPr>
        <w:t>银保监会直接监管的外商独资银行、中外合资银行申请资本工具计划发行额度，由银保监会受理、审查和决定，其他外商独资银行、中外合资银行申请资本工具计划发行额度，由所在地银保监局受理和初审，由银保监会审查和决定。</w:t>
      </w:r>
    </w:p>
    <w:p w14:paraId="0D8912CA" w14:textId="77777777" w:rsidR="00F10AE9" w:rsidRPr="00F10AE9" w:rsidRDefault="00F10AE9" w:rsidP="005C577A">
      <w:pPr>
        <w:rPr>
          <w:rFonts w:ascii="Arial" w:hAnsi="Arial"/>
        </w:rPr>
      </w:pPr>
      <w:bookmarkStart w:id="10" w:name="hmjd_error_1_0_“_“缺少成对_6009"/>
      <w:bookmarkEnd w:id="10"/>
      <w:r w:rsidRPr="00F10AE9">
        <w:rPr>
          <w:rFonts w:ascii="Arial" w:hAnsi="Arial" w:hint="eastAsia"/>
        </w:rPr>
        <w:t>“外商独资银行、中外合资银行申请资本工具计划发行额度，申请人应当向银保监会或所在地银保监局提交申请资料。所在地银保监局应当自受理之日起</w:t>
      </w:r>
      <w:r w:rsidRPr="00F10AE9">
        <w:rPr>
          <w:rFonts w:ascii="Arial" w:hAnsi="Arial" w:hint="eastAsia"/>
        </w:rPr>
        <w:t>20</w:t>
      </w:r>
      <w:r w:rsidRPr="00F10AE9">
        <w:rPr>
          <w:rFonts w:ascii="Arial" w:hAnsi="Arial" w:hint="eastAsia"/>
        </w:rPr>
        <w:t>日内将申请资料连同审核意见报送银保监会。银保监会应自申请受理之日起</w:t>
      </w:r>
      <w:r w:rsidRPr="00F10AE9">
        <w:rPr>
          <w:rFonts w:ascii="Arial" w:hAnsi="Arial" w:hint="eastAsia"/>
        </w:rPr>
        <w:t>3</w:t>
      </w:r>
      <w:r w:rsidRPr="00F10AE9">
        <w:rPr>
          <w:rFonts w:ascii="Arial" w:hAnsi="Arial" w:hint="eastAsia"/>
        </w:rPr>
        <w:t>个月内，</w:t>
      </w:r>
      <w:proofErr w:type="gramStart"/>
      <w:r w:rsidRPr="00F10AE9">
        <w:rPr>
          <w:rFonts w:ascii="Arial" w:hAnsi="Arial" w:hint="eastAsia"/>
        </w:rPr>
        <w:t>作出</w:t>
      </w:r>
      <w:proofErr w:type="gramEnd"/>
      <w:r w:rsidRPr="00F10AE9">
        <w:rPr>
          <w:rFonts w:ascii="Arial" w:hAnsi="Arial" w:hint="eastAsia"/>
        </w:rPr>
        <w:t>批准或不批准的书面决定，并书面通知申请人。决定不批准的，应当说明理由。</w:t>
      </w:r>
    </w:p>
    <w:p w14:paraId="5EA28C99" w14:textId="77777777" w:rsidR="00F10AE9" w:rsidRPr="00F10AE9" w:rsidRDefault="00F10AE9" w:rsidP="005C577A">
      <w:pPr>
        <w:rPr>
          <w:rFonts w:ascii="Arial" w:hAnsi="Arial"/>
        </w:rPr>
      </w:pPr>
      <w:bookmarkStart w:id="11" w:name="hmjd_error_1_0_“_“缺少成对_6154"/>
      <w:bookmarkEnd w:id="11"/>
      <w:r w:rsidRPr="00F10AE9">
        <w:rPr>
          <w:rFonts w:ascii="Arial" w:hAnsi="Arial" w:hint="eastAsia"/>
        </w:rPr>
        <w:t>“外商独资银行、中外合资银行可在批准额度内，自主决定具体工具品种、发行时间、批次和规模，并自批准之日起</w:t>
      </w:r>
      <w:r w:rsidRPr="00F10AE9">
        <w:rPr>
          <w:rFonts w:ascii="Arial" w:hAnsi="Arial" w:hint="eastAsia"/>
        </w:rPr>
        <w:t>24</w:t>
      </w:r>
      <w:r w:rsidRPr="00F10AE9">
        <w:rPr>
          <w:rFonts w:ascii="Arial" w:hAnsi="Arial" w:hint="eastAsia"/>
        </w:rPr>
        <w:t>个月内完成发行；如在</w:t>
      </w:r>
      <w:r w:rsidRPr="00F10AE9">
        <w:rPr>
          <w:rFonts w:ascii="Arial" w:hAnsi="Arial" w:hint="eastAsia"/>
        </w:rPr>
        <w:t>24</w:t>
      </w:r>
      <w:r w:rsidRPr="00F10AE9">
        <w:rPr>
          <w:rFonts w:ascii="Arial" w:hAnsi="Arial" w:hint="eastAsia"/>
        </w:rPr>
        <w:t>个月内再次提交额度申请，则原有剩余额度失效，以最新批准额度为准。</w:t>
      </w:r>
    </w:p>
    <w:p w14:paraId="1CF8B2C9" w14:textId="77777777" w:rsidR="00F10AE9" w:rsidRPr="00F10AE9" w:rsidRDefault="00F10AE9" w:rsidP="005C577A">
      <w:pPr>
        <w:rPr>
          <w:rFonts w:ascii="Arial" w:hAnsi="Arial"/>
        </w:rPr>
      </w:pPr>
      <w:bookmarkStart w:id="12" w:name="hmjd_error_1_0_“_“缺少成对_6252"/>
      <w:bookmarkEnd w:id="12"/>
      <w:r w:rsidRPr="00F10AE9">
        <w:rPr>
          <w:rFonts w:ascii="Arial" w:hAnsi="Arial" w:hint="eastAsia"/>
        </w:rPr>
        <w:t>“银保监会直接监管的外商独资银行、中外合资银行应在资本工具募集发行结束后</w:t>
      </w:r>
      <w:r w:rsidRPr="00F10AE9">
        <w:rPr>
          <w:rFonts w:ascii="Arial" w:hAnsi="Arial" w:hint="eastAsia"/>
        </w:rPr>
        <w:t>10</w:t>
      </w:r>
      <w:r w:rsidRPr="00F10AE9">
        <w:rPr>
          <w:rFonts w:ascii="Arial" w:hAnsi="Arial" w:hint="eastAsia"/>
        </w:rPr>
        <w:t>日内向银保监会报告，其他外商独资银行、中外合资银行应在资本工具募集发行结束后</w:t>
      </w:r>
      <w:r w:rsidRPr="00F10AE9">
        <w:rPr>
          <w:rFonts w:ascii="Arial" w:hAnsi="Arial" w:hint="eastAsia"/>
        </w:rPr>
        <w:t>10</w:t>
      </w:r>
      <w:r w:rsidRPr="00F10AE9">
        <w:rPr>
          <w:rFonts w:ascii="Arial" w:hAnsi="Arial" w:hint="eastAsia"/>
        </w:rPr>
        <w:t>日内向所在地银保监局报告。银保监会或所在地银保监局有权对已发行的资本工具是否达到合格资本标准进行认定。</w:t>
      </w:r>
    </w:p>
    <w:p w14:paraId="0BEF7D66" w14:textId="77777777" w:rsidR="00F10AE9" w:rsidRPr="00F10AE9" w:rsidRDefault="00F10AE9" w:rsidP="005C577A">
      <w:pPr>
        <w:rPr>
          <w:rFonts w:ascii="Arial" w:hAnsi="Arial"/>
        </w:rPr>
      </w:pPr>
      <w:r w:rsidRPr="00F10AE9">
        <w:rPr>
          <w:rFonts w:ascii="Arial" w:hAnsi="Arial" w:hint="eastAsia"/>
        </w:rPr>
        <w:t>“银保监会直接监管的外商独资银行、中外合资银行应在非资本类债券募集发行结束后</w:t>
      </w:r>
      <w:r w:rsidRPr="00F10AE9">
        <w:rPr>
          <w:rFonts w:ascii="Arial" w:hAnsi="Arial" w:hint="eastAsia"/>
        </w:rPr>
        <w:t>10</w:t>
      </w:r>
      <w:r w:rsidRPr="00F10AE9">
        <w:rPr>
          <w:rFonts w:ascii="Arial" w:hAnsi="Arial" w:hint="eastAsia"/>
        </w:rPr>
        <w:t>日内向银保监会报告，其他外商独资银行、中外合资银行应在非资本类债券募集发行结束后</w:t>
      </w:r>
      <w:r w:rsidRPr="00F10AE9">
        <w:rPr>
          <w:rFonts w:ascii="Arial" w:hAnsi="Arial" w:hint="eastAsia"/>
        </w:rPr>
        <w:t>10</w:t>
      </w:r>
      <w:r w:rsidRPr="00F10AE9">
        <w:rPr>
          <w:rFonts w:ascii="Arial" w:hAnsi="Arial" w:hint="eastAsia"/>
        </w:rPr>
        <w:t>日内向所在地银保监局报告。”</w:t>
      </w:r>
    </w:p>
    <w:p w14:paraId="7DAA6441" w14:textId="77777777" w:rsidR="00F10AE9" w:rsidRPr="00F10AE9" w:rsidRDefault="00F10AE9" w:rsidP="005C577A">
      <w:pPr>
        <w:rPr>
          <w:rFonts w:ascii="Arial" w:hAnsi="Arial"/>
        </w:rPr>
      </w:pPr>
      <w:r w:rsidRPr="00F10AE9">
        <w:rPr>
          <w:rFonts w:ascii="Arial" w:hAnsi="Arial" w:hint="eastAsia"/>
        </w:rPr>
        <w:t>第一百一十一条修改为：</w:t>
      </w:r>
      <w:bookmarkStart w:id="13" w:name="hmjd_error_1_0_“_“缺少成对_6490"/>
      <w:r w:rsidRPr="00F10AE9">
        <w:rPr>
          <w:rFonts w:ascii="Arial" w:hAnsi="Arial" w:hint="eastAsia"/>
        </w:rPr>
        <w:t>“</w:t>
      </w:r>
      <w:bookmarkEnd w:id="13"/>
      <w:r w:rsidRPr="00F10AE9">
        <w:rPr>
          <w:rFonts w:ascii="Arial" w:hAnsi="Arial" w:hint="eastAsia"/>
        </w:rPr>
        <w:t>外商独资银行、中外合资银行申请资本工具计划发行额度，应当向银保监会或者所在地银保监局提交下列申请资料（一式两份）：</w:t>
      </w:r>
    </w:p>
    <w:p w14:paraId="0CD50648" w14:textId="77777777" w:rsidR="00F10AE9" w:rsidRPr="00F10AE9" w:rsidRDefault="00F10AE9" w:rsidP="005C577A">
      <w:pPr>
        <w:rPr>
          <w:rFonts w:ascii="Arial" w:hAnsi="Arial"/>
        </w:rPr>
      </w:pPr>
      <w:bookmarkStart w:id="14" w:name="hmjd_error_1_0_“_“缺少成对_6549"/>
      <w:bookmarkEnd w:id="14"/>
      <w:r w:rsidRPr="00F10AE9">
        <w:rPr>
          <w:rFonts w:ascii="Arial" w:hAnsi="Arial" w:hint="eastAsia"/>
        </w:rPr>
        <w:t>“（一）申请人董事长或者行长（首席执行官）签署的申请书；</w:t>
      </w:r>
    </w:p>
    <w:p w14:paraId="635EA496" w14:textId="77777777" w:rsidR="00F10AE9" w:rsidRPr="00F10AE9" w:rsidRDefault="00F10AE9" w:rsidP="005C577A">
      <w:pPr>
        <w:rPr>
          <w:rFonts w:ascii="Arial" w:hAnsi="Arial"/>
        </w:rPr>
      </w:pPr>
      <w:bookmarkStart w:id="15" w:name="hmjd_error_1_0_“_“缺少成对_6578"/>
      <w:bookmarkEnd w:id="15"/>
      <w:r w:rsidRPr="00F10AE9">
        <w:rPr>
          <w:rFonts w:ascii="Arial" w:hAnsi="Arial" w:hint="eastAsia"/>
        </w:rPr>
        <w:t>“（二）可行性研究报告及洗钱和恐怖融资风险评估报告；</w:t>
      </w:r>
    </w:p>
    <w:p w14:paraId="40DD03AE" w14:textId="77777777" w:rsidR="00F10AE9" w:rsidRPr="00F10AE9" w:rsidRDefault="00F10AE9" w:rsidP="005C577A">
      <w:pPr>
        <w:rPr>
          <w:rFonts w:ascii="Arial" w:hAnsi="Arial"/>
        </w:rPr>
      </w:pPr>
      <w:bookmarkStart w:id="16" w:name="hmjd_error_1_0_“_“缺少成对_6605"/>
      <w:bookmarkEnd w:id="16"/>
      <w:r w:rsidRPr="00F10AE9">
        <w:rPr>
          <w:rFonts w:ascii="Arial" w:hAnsi="Arial" w:hint="eastAsia"/>
        </w:rPr>
        <w:t>“（三）资本工具计划发行额度登记表；</w:t>
      </w:r>
    </w:p>
    <w:p w14:paraId="79E30758" w14:textId="77777777" w:rsidR="00F10AE9" w:rsidRPr="00F10AE9" w:rsidRDefault="00F10AE9" w:rsidP="005C577A">
      <w:pPr>
        <w:rPr>
          <w:rFonts w:ascii="Arial" w:hAnsi="Arial"/>
        </w:rPr>
      </w:pPr>
      <w:bookmarkStart w:id="17" w:name="hmjd_error_1_0_“_“缺少成对_6624"/>
      <w:bookmarkEnd w:id="17"/>
      <w:r w:rsidRPr="00F10AE9">
        <w:rPr>
          <w:rFonts w:ascii="Arial" w:hAnsi="Arial" w:hint="eastAsia"/>
        </w:rPr>
        <w:t>“（四）申请人关于资本工具计划发行额度的董事会决议；</w:t>
      </w:r>
    </w:p>
    <w:p w14:paraId="159DB2B5" w14:textId="77777777" w:rsidR="00F10AE9" w:rsidRPr="00F10AE9" w:rsidRDefault="00F10AE9" w:rsidP="005C577A">
      <w:pPr>
        <w:rPr>
          <w:rFonts w:ascii="Arial" w:hAnsi="Arial"/>
        </w:rPr>
      </w:pPr>
      <w:bookmarkStart w:id="18" w:name="hmjd_error_1_0_“_“缺少成对_6651"/>
      <w:bookmarkEnd w:id="18"/>
      <w:r w:rsidRPr="00F10AE9">
        <w:rPr>
          <w:rFonts w:ascii="Arial" w:hAnsi="Arial" w:hint="eastAsia"/>
        </w:rPr>
        <w:t>“（五）申请人股东关于资本工具计划发行额度的决议；</w:t>
      </w:r>
    </w:p>
    <w:p w14:paraId="5DDD876B" w14:textId="77777777" w:rsidR="00F10AE9" w:rsidRPr="00F10AE9" w:rsidRDefault="00F10AE9" w:rsidP="005C577A">
      <w:pPr>
        <w:rPr>
          <w:rFonts w:ascii="Arial" w:hAnsi="Arial"/>
        </w:rPr>
      </w:pPr>
      <w:bookmarkStart w:id="19" w:name="hmjd_error_1_0_“_“缺少成对_6677"/>
      <w:bookmarkEnd w:id="19"/>
      <w:r w:rsidRPr="00F10AE9">
        <w:rPr>
          <w:rFonts w:ascii="Arial" w:hAnsi="Arial" w:hint="eastAsia"/>
        </w:rPr>
        <w:t>“（六）申请人最近</w:t>
      </w:r>
      <w:r w:rsidRPr="00F10AE9">
        <w:rPr>
          <w:rFonts w:ascii="Arial" w:hAnsi="Arial" w:hint="eastAsia"/>
        </w:rPr>
        <w:t>3</w:t>
      </w:r>
      <w:r w:rsidRPr="00F10AE9">
        <w:rPr>
          <w:rFonts w:ascii="Arial" w:hAnsi="Arial" w:hint="eastAsia"/>
        </w:rPr>
        <w:t>年经审计的财务会计报告；</w:t>
      </w:r>
    </w:p>
    <w:p w14:paraId="16A10085" w14:textId="77777777" w:rsidR="00F10AE9" w:rsidRPr="00F10AE9" w:rsidRDefault="00F10AE9" w:rsidP="005C577A">
      <w:pPr>
        <w:rPr>
          <w:rFonts w:ascii="Arial" w:hAnsi="Arial"/>
        </w:rPr>
      </w:pPr>
      <w:bookmarkStart w:id="20" w:name="hmjd_error_1_0_“_“缺少成对_6700"/>
      <w:bookmarkEnd w:id="20"/>
      <w:r w:rsidRPr="00F10AE9">
        <w:rPr>
          <w:rFonts w:ascii="Arial" w:hAnsi="Arial" w:hint="eastAsia"/>
        </w:rPr>
        <w:t>“（七）募集说明书；</w:t>
      </w:r>
    </w:p>
    <w:p w14:paraId="399DB054" w14:textId="77777777" w:rsidR="00F10AE9" w:rsidRPr="00F10AE9" w:rsidRDefault="00F10AE9" w:rsidP="005C577A">
      <w:pPr>
        <w:rPr>
          <w:rFonts w:ascii="Arial" w:hAnsi="Arial"/>
        </w:rPr>
      </w:pPr>
      <w:bookmarkStart w:id="21" w:name="hmjd_error_1_0_“_“缺少成对_6711"/>
      <w:bookmarkEnd w:id="21"/>
      <w:r w:rsidRPr="00F10AE9">
        <w:rPr>
          <w:rFonts w:ascii="Arial" w:hAnsi="Arial" w:hint="eastAsia"/>
        </w:rPr>
        <w:t>“（八）发行公告或者发行章程；</w:t>
      </w:r>
    </w:p>
    <w:p w14:paraId="71826153" w14:textId="77777777" w:rsidR="00F10AE9" w:rsidRPr="00F10AE9" w:rsidRDefault="00F10AE9" w:rsidP="005C577A">
      <w:pPr>
        <w:rPr>
          <w:rFonts w:ascii="Arial" w:hAnsi="Arial"/>
        </w:rPr>
      </w:pPr>
      <w:bookmarkStart w:id="22" w:name="hmjd_error_1_0_“_“缺少成对_6727"/>
      <w:bookmarkEnd w:id="22"/>
      <w:r w:rsidRPr="00F10AE9">
        <w:rPr>
          <w:rFonts w:ascii="Arial" w:hAnsi="Arial" w:hint="eastAsia"/>
        </w:rPr>
        <w:t>“（九）申请人关于债券偿债计划及保障措施的专项报告；</w:t>
      </w:r>
    </w:p>
    <w:p w14:paraId="31DCB30D" w14:textId="77777777" w:rsidR="00F10AE9" w:rsidRPr="00F10AE9" w:rsidRDefault="00F10AE9" w:rsidP="005C577A">
      <w:pPr>
        <w:rPr>
          <w:rFonts w:ascii="Arial" w:hAnsi="Arial"/>
        </w:rPr>
      </w:pPr>
      <w:bookmarkStart w:id="23" w:name="hmjd_error_1_0_“_“缺少成对_6754"/>
      <w:bookmarkEnd w:id="23"/>
      <w:r w:rsidRPr="00F10AE9">
        <w:rPr>
          <w:rFonts w:ascii="Arial" w:hAnsi="Arial" w:hint="eastAsia"/>
        </w:rPr>
        <w:t>“（十）信用评级机构出具的资本补充工具信用评级报告及有关持续跟踪评级安排的说明，但申请人赴境外发行资本补充工具的除外；</w:t>
      </w:r>
    </w:p>
    <w:p w14:paraId="7ACDC3F9" w14:textId="77777777" w:rsidR="00F10AE9" w:rsidRPr="00F10AE9" w:rsidRDefault="00F10AE9" w:rsidP="005C577A">
      <w:pPr>
        <w:rPr>
          <w:rFonts w:ascii="Arial" w:hAnsi="Arial"/>
        </w:rPr>
      </w:pPr>
      <w:r w:rsidRPr="00F10AE9">
        <w:rPr>
          <w:rFonts w:ascii="Arial" w:hAnsi="Arial" w:hint="eastAsia"/>
        </w:rPr>
        <w:t>“（十一）银保监会要求的其他资料。”</w:t>
      </w:r>
    </w:p>
    <w:p w14:paraId="42E427E2" w14:textId="77777777" w:rsidR="00F10AE9" w:rsidRPr="00F10AE9" w:rsidRDefault="00F10AE9" w:rsidP="005C577A">
      <w:pPr>
        <w:rPr>
          <w:rFonts w:ascii="Arial" w:hAnsi="Arial"/>
        </w:rPr>
      </w:pPr>
      <w:r w:rsidRPr="00F10AE9">
        <w:rPr>
          <w:rFonts w:ascii="Arial" w:hAnsi="Arial" w:hint="eastAsia"/>
        </w:rPr>
        <w:lastRenderedPageBreak/>
        <w:t>第一百三十六条第（一）项修改为：“（一）申请人授权签字人签署的申请书，申请书中应当说明拟任人拟任的职务、职责、权限，及该职务在本机构组织结构中的位置，拟任人为董事长或行长（首席执行官）的，无需说明拟任职务在本机构组织结构中的位置”。</w:t>
      </w:r>
    </w:p>
    <w:p w14:paraId="45DAEFD4" w14:textId="77777777" w:rsidR="00F10AE9" w:rsidRPr="00F10AE9" w:rsidRDefault="00F10AE9" w:rsidP="005C577A">
      <w:pPr>
        <w:rPr>
          <w:rFonts w:ascii="Arial" w:hAnsi="Arial"/>
        </w:rPr>
      </w:pPr>
      <w:r w:rsidRPr="00F10AE9">
        <w:rPr>
          <w:rFonts w:ascii="Arial" w:hAnsi="Arial" w:hint="eastAsia"/>
        </w:rPr>
        <w:t>第一百三十六条第（二）项修改为：“（二）申请人授权签字人签署的对拟任人的授权书及该签字人的授权书，拟任人为董事长或行长（首席执行官）</w:t>
      </w:r>
      <w:bookmarkStart w:id="24" w:name="hmjd_error_2_0_且_黑马提示无建议_7015"/>
      <w:r w:rsidRPr="00F10AE9">
        <w:rPr>
          <w:rFonts w:ascii="Arial" w:hAnsi="Arial" w:hint="eastAsia"/>
        </w:rPr>
        <w:t>且</w:t>
      </w:r>
      <w:bookmarkEnd w:id="24"/>
      <w:r w:rsidRPr="00F10AE9">
        <w:rPr>
          <w:rFonts w:ascii="Arial" w:hAnsi="Arial" w:hint="eastAsia"/>
        </w:rPr>
        <w:t>章程已对其职责</w:t>
      </w:r>
      <w:proofErr w:type="gramStart"/>
      <w:r w:rsidRPr="00F10AE9">
        <w:rPr>
          <w:rFonts w:ascii="Arial" w:hAnsi="Arial" w:hint="eastAsia"/>
        </w:rPr>
        <w:t>作出</w:t>
      </w:r>
      <w:proofErr w:type="gramEnd"/>
      <w:r w:rsidRPr="00F10AE9">
        <w:rPr>
          <w:rFonts w:ascii="Arial" w:hAnsi="Arial" w:hint="eastAsia"/>
        </w:rPr>
        <w:t>规定的，无需提供对拟任人的授权书”。</w:t>
      </w:r>
    </w:p>
    <w:p w14:paraId="7B2F72FA" w14:textId="77777777" w:rsidR="00F10AE9" w:rsidRPr="00F10AE9" w:rsidRDefault="00F10AE9" w:rsidP="005C577A">
      <w:pPr>
        <w:rPr>
          <w:rFonts w:ascii="Arial" w:hAnsi="Arial"/>
        </w:rPr>
      </w:pPr>
      <w:r w:rsidRPr="00F10AE9">
        <w:rPr>
          <w:rFonts w:ascii="Arial" w:hAnsi="Arial" w:hint="eastAsia"/>
        </w:rPr>
        <w:t>第一百三十六条第（八）项修改为：“（八）拟任人履职情况的审计报告或者原任职机构出具的履职评价”。</w:t>
      </w:r>
    </w:p>
    <w:p w14:paraId="665ACE4A" w14:textId="77777777" w:rsidR="00F10AE9" w:rsidRPr="00F10AE9" w:rsidRDefault="00F10AE9" w:rsidP="005C577A">
      <w:pPr>
        <w:rPr>
          <w:rFonts w:ascii="Arial" w:hAnsi="Arial"/>
        </w:rPr>
      </w:pPr>
      <w:r w:rsidRPr="00F10AE9">
        <w:rPr>
          <w:rFonts w:ascii="Arial" w:hAnsi="Arial" w:hint="eastAsia"/>
        </w:rPr>
        <w:t>此外，对相关部门规章中的条文序号作相应调整。</w:t>
      </w:r>
    </w:p>
    <w:p w14:paraId="44A8D542" w14:textId="77777777" w:rsidR="00F10AE9" w:rsidRPr="00F10AE9" w:rsidRDefault="00F10AE9" w:rsidP="005C577A">
      <w:pPr>
        <w:rPr>
          <w:rFonts w:ascii="Arial" w:hAnsi="Arial"/>
        </w:rPr>
      </w:pPr>
      <w:r w:rsidRPr="00F10AE9">
        <w:rPr>
          <w:rFonts w:ascii="Arial" w:hAnsi="Arial" w:hint="eastAsia"/>
        </w:rPr>
        <w:t>本决定自</w:t>
      </w:r>
      <w:r w:rsidRPr="00F10AE9">
        <w:rPr>
          <w:rFonts w:ascii="Arial" w:hAnsi="Arial" w:hint="eastAsia"/>
        </w:rPr>
        <w:t>2022</w:t>
      </w:r>
      <w:r w:rsidRPr="00F10AE9">
        <w:rPr>
          <w:rFonts w:ascii="Arial" w:hAnsi="Arial" w:hint="eastAsia"/>
        </w:rPr>
        <w:t>年</w:t>
      </w:r>
      <w:r w:rsidRPr="00F10AE9">
        <w:rPr>
          <w:rFonts w:ascii="Arial" w:hAnsi="Arial" w:hint="eastAsia"/>
        </w:rPr>
        <w:t>10</w:t>
      </w:r>
      <w:r w:rsidRPr="00F10AE9">
        <w:rPr>
          <w:rFonts w:ascii="Arial" w:hAnsi="Arial" w:hint="eastAsia"/>
        </w:rPr>
        <w:t>月</w:t>
      </w:r>
      <w:r w:rsidRPr="00F10AE9">
        <w:rPr>
          <w:rFonts w:ascii="Arial" w:hAnsi="Arial" w:hint="eastAsia"/>
        </w:rPr>
        <w:t>8</w:t>
      </w:r>
      <w:r w:rsidRPr="00F10AE9">
        <w:rPr>
          <w:rFonts w:ascii="Arial" w:hAnsi="Arial" w:hint="eastAsia"/>
        </w:rPr>
        <w:t>日起施行。《中国银保监会中资商业银行行政许可事项实施办法》《中国银保监会农村中小银行机构行政许可事项实施办法》《中国银保监会外资银行行政许可事项实施办法》根据本决定作相应修改，重新公布。</w:t>
      </w:r>
    </w:p>
    <w:p w14:paraId="2FE55328" w14:textId="121D9434" w:rsidR="00326494" w:rsidRDefault="00326494" w:rsidP="005C577A">
      <w:pPr>
        <w:rPr>
          <w:rFonts w:ascii="Arial" w:hAnsi="Arial"/>
        </w:rPr>
      </w:pPr>
    </w:p>
    <w:p w14:paraId="13CB5720" w14:textId="77777777" w:rsidR="00326494" w:rsidRPr="00F10AE9" w:rsidRDefault="00326494" w:rsidP="005C577A">
      <w:pPr>
        <w:rPr>
          <w:rFonts w:ascii="Arial" w:hAnsi="Arial"/>
        </w:rPr>
      </w:pPr>
    </w:p>
    <w:p w14:paraId="0BB3E1DA" w14:textId="77777777" w:rsidR="00326494" w:rsidRPr="00F10AE9" w:rsidRDefault="00326494" w:rsidP="005C577A">
      <w:pPr>
        <w:rPr>
          <w:rFonts w:ascii="Arial" w:hAnsi="Arial"/>
        </w:rPr>
      </w:pPr>
      <w:r w:rsidRPr="00F10AE9">
        <w:rPr>
          <w:rFonts w:ascii="Arial" w:hAnsi="Arial" w:hint="eastAsia"/>
        </w:rPr>
        <w:t>信息来源：</w:t>
      </w:r>
    </w:p>
    <w:p w14:paraId="0EEC2424" w14:textId="77777777" w:rsidR="00326494" w:rsidRPr="00F10AE9" w:rsidRDefault="00000000" w:rsidP="005C577A">
      <w:pPr>
        <w:rPr>
          <w:rFonts w:ascii="Arial" w:hAnsi="Arial"/>
        </w:rPr>
      </w:pPr>
      <w:hyperlink r:id="rId6" w:history="1">
        <w:r w:rsidR="00326494" w:rsidRPr="00F10AE9">
          <w:rPr>
            <w:rStyle w:val="a5"/>
            <w:rFonts w:ascii="Arial" w:hAnsi="Arial"/>
          </w:rPr>
          <w:t>http://www.cbirc.gov.cn/cn/view/pages/ItemDetail.html?docId=1074419&amp;itemId=928</w:t>
        </w:r>
      </w:hyperlink>
    </w:p>
    <w:p w14:paraId="1C0A1FCB" w14:textId="1433388C" w:rsidR="00326494" w:rsidRPr="00326494" w:rsidRDefault="00326494" w:rsidP="005C577A">
      <w:pPr>
        <w:rPr>
          <w:rFonts w:ascii="Arial" w:hAnsi="Arial"/>
        </w:rPr>
      </w:pPr>
    </w:p>
    <w:p w14:paraId="36365BBA" w14:textId="1CBDA265" w:rsidR="00F10AE9" w:rsidRPr="00F10AE9" w:rsidRDefault="00F10AE9" w:rsidP="005C577A">
      <w:pPr>
        <w:rPr>
          <w:rFonts w:ascii="Arial" w:hAnsi="Arial"/>
        </w:rPr>
      </w:pPr>
    </w:p>
    <w:sectPr w:rsidR="00F10AE9" w:rsidRPr="00F10AE9" w:rsidSect="00C75656">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A59A" w14:textId="77777777" w:rsidR="00F36B53" w:rsidRDefault="00F36B53" w:rsidP="00326494">
      <w:pPr>
        <w:spacing w:line="240" w:lineRule="auto"/>
      </w:pPr>
      <w:r>
        <w:separator/>
      </w:r>
    </w:p>
  </w:endnote>
  <w:endnote w:type="continuationSeparator" w:id="0">
    <w:p w14:paraId="3D49BAF6" w14:textId="77777777" w:rsidR="00F36B53" w:rsidRDefault="00F36B53" w:rsidP="00326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45D1" w14:textId="77777777" w:rsidR="00F36B53" w:rsidRDefault="00F36B53" w:rsidP="00326494">
      <w:pPr>
        <w:spacing w:line="240" w:lineRule="auto"/>
      </w:pPr>
      <w:r>
        <w:separator/>
      </w:r>
    </w:p>
  </w:footnote>
  <w:footnote w:type="continuationSeparator" w:id="0">
    <w:p w14:paraId="2B9CA3AD" w14:textId="77777777" w:rsidR="00F36B53" w:rsidRDefault="00F36B53" w:rsidP="003264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0AE9"/>
    <w:rsid w:val="002D7CC9"/>
    <w:rsid w:val="00326494"/>
    <w:rsid w:val="005C577A"/>
    <w:rsid w:val="00751864"/>
    <w:rsid w:val="00B41EDF"/>
    <w:rsid w:val="00C75656"/>
    <w:rsid w:val="00E84F72"/>
    <w:rsid w:val="00F10AE9"/>
    <w:rsid w:val="00F36B53"/>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134F"/>
  <w15:chartTrackingRefBased/>
  <w15:docId w15:val="{05A56BB1-4684-41CA-8107-789E724F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10AE9"/>
    <w:pPr>
      <w:spacing w:before="100" w:beforeAutospacing="1" w:after="100" w:afterAutospacing="1" w:line="240" w:lineRule="auto"/>
    </w:pPr>
    <w:rPr>
      <w:rFonts w:cs="宋体"/>
      <w:kern w:val="0"/>
      <w:sz w:val="24"/>
      <w:szCs w:val="24"/>
    </w:rPr>
  </w:style>
  <w:style w:type="paragraph" w:customStyle="1" w:styleId="p">
    <w:name w:val="p"/>
    <w:basedOn w:val="a"/>
    <w:rsid w:val="00F10AE9"/>
    <w:pPr>
      <w:spacing w:before="100" w:beforeAutospacing="1" w:after="100" w:afterAutospacing="1" w:line="240" w:lineRule="auto"/>
    </w:pPr>
    <w:rPr>
      <w:rFonts w:cs="宋体"/>
      <w:kern w:val="0"/>
      <w:sz w:val="24"/>
      <w:szCs w:val="24"/>
    </w:rPr>
  </w:style>
  <w:style w:type="paragraph" w:styleId="a3">
    <w:name w:val="Body Text Indent"/>
    <w:basedOn w:val="a"/>
    <w:link w:val="a4"/>
    <w:uiPriority w:val="99"/>
    <w:semiHidden/>
    <w:unhideWhenUsed/>
    <w:rsid w:val="00F10AE9"/>
    <w:pPr>
      <w:spacing w:after="120" w:line="240" w:lineRule="auto"/>
      <w:ind w:leftChars="200" w:left="420"/>
    </w:pPr>
    <w:rPr>
      <w:rFonts w:cs="宋体"/>
      <w:kern w:val="0"/>
      <w:sz w:val="24"/>
      <w:szCs w:val="24"/>
    </w:rPr>
  </w:style>
  <w:style w:type="character" w:customStyle="1" w:styleId="a4">
    <w:name w:val="正文文本缩进 字符"/>
    <w:basedOn w:val="a0"/>
    <w:link w:val="a3"/>
    <w:uiPriority w:val="99"/>
    <w:semiHidden/>
    <w:rsid w:val="00F10AE9"/>
    <w:rPr>
      <w:rFonts w:cs="宋体"/>
      <w:kern w:val="0"/>
      <w:sz w:val="24"/>
      <w:szCs w:val="24"/>
    </w:rPr>
  </w:style>
  <w:style w:type="paragraph" w:styleId="2">
    <w:name w:val="Body Text First Indent 2"/>
    <w:basedOn w:val="a"/>
    <w:link w:val="20"/>
    <w:uiPriority w:val="99"/>
    <w:semiHidden/>
    <w:unhideWhenUsed/>
    <w:rsid w:val="00F10AE9"/>
    <w:pPr>
      <w:spacing w:before="100" w:beforeAutospacing="1" w:after="100" w:afterAutospacing="1" w:line="240" w:lineRule="auto"/>
    </w:pPr>
    <w:rPr>
      <w:rFonts w:cs="宋体"/>
      <w:kern w:val="0"/>
      <w:sz w:val="24"/>
      <w:szCs w:val="24"/>
    </w:rPr>
  </w:style>
  <w:style w:type="character" w:customStyle="1" w:styleId="20">
    <w:name w:val="正文文本首行缩进 2 字符"/>
    <w:basedOn w:val="a4"/>
    <w:link w:val="2"/>
    <w:uiPriority w:val="99"/>
    <w:semiHidden/>
    <w:rsid w:val="00F10AE9"/>
    <w:rPr>
      <w:rFonts w:cs="宋体"/>
      <w:kern w:val="0"/>
      <w:sz w:val="24"/>
      <w:szCs w:val="24"/>
    </w:rPr>
  </w:style>
  <w:style w:type="character" w:styleId="a5">
    <w:name w:val="Hyperlink"/>
    <w:basedOn w:val="a0"/>
    <w:uiPriority w:val="99"/>
    <w:unhideWhenUsed/>
    <w:rsid w:val="00F10AE9"/>
    <w:rPr>
      <w:color w:val="0000FF"/>
      <w:u w:val="single"/>
    </w:rPr>
  </w:style>
  <w:style w:type="character" w:styleId="a6">
    <w:name w:val="FollowedHyperlink"/>
    <w:basedOn w:val="a0"/>
    <w:uiPriority w:val="99"/>
    <w:semiHidden/>
    <w:unhideWhenUsed/>
    <w:rsid w:val="00F10AE9"/>
    <w:rPr>
      <w:color w:val="800080"/>
      <w:u w:val="single"/>
    </w:rPr>
  </w:style>
  <w:style w:type="character" w:customStyle="1" w:styleId="15">
    <w:name w:val="15"/>
    <w:basedOn w:val="a0"/>
    <w:rsid w:val="00F10AE9"/>
  </w:style>
  <w:style w:type="character" w:styleId="a7">
    <w:name w:val="Unresolved Mention"/>
    <w:basedOn w:val="a0"/>
    <w:uiPriority w:val="99"/>
    <w:semiHidden/>
    <w:unhideWhenUsed/>
    <w:rsid w:val="00F10AE9"/>
    <w:rPr>
      <w:color w:val="605E5C"/>
      <w:shd w:val="clear" w:color="auto" w:fill="E1DFDD"/>
    </w:rPr>
  </w:style>
  <w:style w:type="paragraph" w:styleId="a8">
    <w:name w:val="header"/>
    <w:basedOn w:val="a"/>
    <w:link w:val="a9"/>
    <w:uiPriority w:val="99"/>
    <w:unhideWhenUsed/>
    <w:rsid w:val="00326494"/>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326494"/>
    <w:rPr>
      <w:sz w:val="18"/>
      <w:szCs w:val="18"/>
    </w:rPr>
  </w:style>
  <w:style w:type="paragraph" w:styleId="aa">
    <w:name w:val="footer"/>
    <w:basedOn w:val="a"/>
    <w:link w:val="ab"/>
    <w:uiPriority w:val="99"/>
    <w:unhideWhenUsed/>
    <w:rsid w:val="00326494"/>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3264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94633">
      <w:bodyDiv w:val="1"/>
      <w:marLeft w:val="0"/>
      <w:marRight w:val="0"/>
      <w:marTop w:val="0"/>
      <w:marBottom w:val="0"/>
      <w:divBdr>
        <w:top w:val="none" w:sz="0" w:space="0" w:color="auto"/>
        <w:left w:val="none" w:sz="0" w:space="0" w:color="auto"/>
        <w:bottom w:val="none" w:sz="0" w:space="0" w:color="auto"/>
        <w:right w:val="none" w:sz="0" w:space="0" w:color="auto"/>
      </w:divBdr>
      <w:divsChild>
        <w:div w:id="1854221430">
          <w:marLeft w:val="0"/>
          <w:marRight w:val="0"/>
          <w:marTop w:val="0"/>
          <w:marBottom w:val="750"/>
          <w:divBdr>
            <w:top w:val="none" w:sz="0" w:space="0" w:color="auto"/>
            <w:left w:val="none" w:sz="0" w:space="0" w:color="auto"/>
            <w:bottom w:val="none" w:sz="0" w:space="0" w:color="auto"/>
            <w:right w:val="none" w:sz="0" w:space="0" w:color="auto"/>
          </w:divBdr>
        </w:div>
        <w:div w:id="1060782907">
          <w:marLeft w:val="0"/>
          <w:marRight w:val="0"/>
          <w:marTop w:val="0"/>
          <w:marBottom w:val="0"/>
          <w:divBdr>
            <w:top w:val="none" w:sz="0" w:space="0" w:color="auto"/>
            <w:left w:val="none" w:sz="0" w:space="0" w:color="auto"/>
            <w:bottom w:val="none" w:sz="0" w:space="0" w:color="auto"/>
            <w:right w:val="none" w:sz="0" w:space="0" w:color="auto"/>
          </w:divBdr>
        </w:div>
      </w:divsChild>
    </w:div>
    <w:div w:id="1679581389">
      <w:bodyDiv w:val="1"/>
      <w:marLeft w:val="0"/>
      <w:marRight w:val="0"/>
      <w:marTop w:val="0"/>
      <w:marBottom w:val="0"/>
      <w:divBdr>
        <w:top w:val="none" w:sz="0" w:space="0" w:color="auto"/>
        <w:left w:val="none" w:sz="0" w:space="0" w:color="auto"/>
        <w:bottom w:val="none" w:sz="0" w:space="0" w:color="auto"/>
        <w:right w:val="none" w:sz="0" w:space="0" w:color="auto"/>
      </w:divBdr>
      <w:divsChild>
        <w:div w:id="1401363151">
          <w:marLeft w:val="0"/>
          <w:marRight w:val="0"/>
          <w:marTop w:val="0"/>
          <w:marBottom w:val="750"/>
          <w:divBdr>
            <w:top w:val="none" w:sz="0" w:space="0" w:color="auto"/>
            <w:left w:val="none" w:sz="0" w:space="0" w:color="auto"/>
            <w:bottom w:val="none" w:sz="0" w:space="0" w:color="auto"/>
            <w:right w:val="none" w:sz="0" w:space="0" w:color="auto"/>
          </w:divBdr>
        </w:div>
        <w:div w:id="35790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74419&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2022-09-29T02:30:00Z</dcterms:created>
  <dcterms:modified xsi:type="dcterms:W3CDTF">2022-09-29T11:36:00Z</dcterms:modified>
</cp:coreProperties>
</file>