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4DFC41" w14:textId="0BBF7A67" w:rsidR="00E86F4E" w:rsidRPr="00E86F4E" w:rsidRDefault="00E86F4E" w:rsidP="005A4789">
      <w:pPr>
        <w:pStyle w:val="AD"/>
        <w:spacing w:line="276" w:lineRule="auto"/>
        <w:jc w:val="center"/>
        <w:rPr>
          <w:rFonts w:cs="Arial"/>
          <w:b/>
          <w:bCs/>
          <w:color w:val="E36C0A"/>
          <w:sz w:val="32"/>
          <w:szCs w:val="32"/>
        </w:rPr>
      </w:pPr>
      <w:r w:rsidRPr="00E86F4E">
        <w:rPr>
          <w:rFonts w:cs="Arial" w:hint="eastAsia"/>
          <w:b/>
          <w:bCs/>
          <w:color w:val="E36C0A"/>
          <w:sz w:val="32"/>
          <w:szCs w:val="32"/>
        </w:rPr>
        <w:t>关于加强医疗器械生产经营分级监管工作的指导意见</w:t>
      </w:r>
    </w:p>
    <w:p w14:paraId="05D34267" w14:textId="77777777" w:rsidR="00E86F4E" w:rsidRPr="00BD5C9D" w:rsidRDefault="00E86F4E" w:rsidP="005A4789">
      <w:pPr>
        <w:shd w:val="clear" w:color="auto" w:fill="FFFFFF"/>
        <w:jc w:val="center"/>
        <w:rPr>
          <w:rFonts w:ascii="Arial" w:hAnsi="Arial" w:cs="宋体"/>
          <w:color w:val="000000"/>
          <w:kern w:val="0"/>
          <w:szCs w:val="24"/>
        </w:rPr>
      </w:pPr>
      <w:r w:rsidRPr="00BD5C9D">
        <w:rPr>
          <w:rFonts w:ascii="Arial" w:hAnsi="Arial" w:cs="宋体" w:hint="eastAsia"/>
          <w:color w:val="000000"/>
          <w:kern w:val="0"/>
          <w:szCs w:val="24"/>
        </w:rPr>
        <w:t>药监综械管〔</w:t>
      </w:r>
      <w:r w:rsidRPr="00BD5C9D">
        <w:rPr>
          <w:rFonts w:ascii="Arial" w:hAnsi="Arial" w:cs="宋体" w:hint="eastAsia"/>
          <w:color w:val="000000"/>
          <w:kern w:val="0"/>
          <w:szCs w:val="24"/>
        </w:rPr>
        <w:t>2022</w:t>
      </w:r>
      <w:r w:rsidRPr="00BD5C9D">
        <w:rPr>
          <w:rFonts w:ascii="Arial" w:hAnsi="Arial" w:cs="宋体" w:hint="eastAsia"/>
          <w:color w:val="000000"/>
          <w:kern w:val="0"/>
          <w:szCs w:val="24"/>
        </w:rPr>
        <w:t>〕</w:t>
      </w:r>
      <w:r w:rsidRPr="00BD5C9D">
        <w:rPr>
          <w:rFonts w:ascii="Arial" w:hAnsi="Arial" w:cs="宋体" w:hint="eastAsia"/>
          <w:color w:val="000000"/>
          <w:kern w:val="0"/>
          <w:szCs w:val="24"/>
        </w:rPr>
        <w:t>78</w:t>
      </w:r>
      <w:r w:rsidRPr="00BD5C9D">
        <w:rPr>
          <w:rFonts w:ascii="Arial" w:hAnsi="Arial" w:cs="宋体" w:hint="eastAsia"/>
          <w:color w:val="000000"/>
          <w:kern w:val="0"/>
          <w:szCs w:val="24"/>
        </w:rPr>
        <w:t>号</w:t>
      </w:r>
    </w:p>
    <w:p w14:paraId="06994E9B" w14:textId="77777777" w:rsidR="00E86F4E" w:rsidRDefault="00E86F4E" w:rsidP="005A4789">
      <w:pPr>
        <w:shd w:val="clear" w:color="auto" w:fill="FFFFFF"/>
        <w:rPr>
          <w:rFonts w:ascii="Arial" w:hAnsi="Arial" w:cs="宋体"/>
          <w:color w:val="919191"/>
          <w:kern w:val="0"/>
          <w:szCs w:val="21"/>
        </w:rPr>
      </w:pPr>
    </w:p>
    <w:p w14:paraId="29AEE7C2" w14:textId="1BAAE82A" w:rsidR="00E86F4E" w:rsidRPr="00E86F4E" w:rsidRDefault="00E86F4E" w:rsidP="005A4789">
      <w:pPr>
        <w:shd w:val="clear" w:color="auto" w:fill="FFFFFF"/>
        <w:rPr>
          <w:rFonts w:ascii="Arial" w:hAnsi="Arial" w:cs="宋体"/>
          <w:color w:val="000000"/>
          <w:kern w:val="0"/>
          <w:szCs w:val="24"/>
        </w:rPr>
      </w:pPr>
      <w:r w:rsidRPr="00E86F4E">
        <w:rPr>
          <w:rFonts w:ascii="Arial" w:hAnsi="Arial" w:cs="宋体" w:hint="eastAsia"/>
          <w:color w:val="000000"/>
          <w:kern w:val="0"/>
          <w:szCs w:val="24"/>
        </w:rPr>
        <w:t>各省、自治区、直辖市和新疆生产建设兵团药品监督管理局：</w:t>
      </w:r>
    </w:p>
    <w:p w14:paraId="35FDBE5E" w14:textId="76FB698F" w:rsidR="00E86F4E" w:rsidRDefault="004270DE" w:rsidP="004270DE">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w:t>
      </w:r>
      <w:r w:rsidR="00E86F4E" w:rsidRPr="00E86F4E">
        <w:rPr>
          <w:rFonts w:ascii="Arial" w:hAnsi="Arial" w:cs="宋体" w:hint="eastAsia"/>
          <w:color w:val="000000"/>
          <w:kern w:val="0"/>
          <w:szCs w:val="24"/>
        </w:rPr>
        <w:t>为贯彻实施《医疗器械监督管理条例》，贯彻落实《医疗器械生产监督管理办法》《医疗器械经营监督管理办法》要求，进一步加强医疗器械生产经营监管工作，科学合理配置监管资源，依法保障医疗器械安全有效，推动医疗器械质量安全水平实现新提升，现提出以下指导意见。</w:t>
      </w:r>
    </w:p>
    <w:p w14:paraId="5A8B5100" w14:textId="77777777" w:rsidR="00E86F4E" w:rsidRPr="00E86F4E" w:rsidRDefault="00E86F4E" w:rsidP="005A4789">
      <w:pPr>
        <w:shd w:val="clear" w:color="auto" w:fill="FFFFFF"/>
        <w:ind w:firstLine="444"/>
        <w:rPr>
          <w:rFonts w:ascii="Arial" w:hAnsi="Arial" w:cs="宋体"/>
          <w:color w:val="000000"/>
          <w:kern w:val="0"/>
          <w:szCs w:val="24"/>
        </w:rPr>
      </w:pPr>
    </w:p>
    <w:p w14:paraId="627CDB29"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一、总体要求</w:t>
      </w:r>
    </w:p>
    <w:p w14:paraId="6AF0AAE1" w14:textId="260D8FEE" w:rsidR="00E86F4E" w:rsidRPr="005A4789" w:rsidRDefault="004270DE" w:rsidP="004270DE">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w:t>
      </w:r>
      <w:r w:rsidR="00E86F4E" w:rsidRPr="005A4789">
        <w:rPr>
          <w:rFonts w:ascii="Arial" w:hAnsi="Arial" w:cs="宋体" w:hint="eastAsia"/>
          <w:color w:val="000000"/>
          <w:kern w:val="0"/>
          <w:szCs w:val="24"/>
        </w:rPr>
        <w:t>各级药品监督管理部门应当认真贯彻落实《医疗器械监督管理条例》《医疗器械生产监督管理办法》《医疗器械经营监督管理办法》要求，按照“风险分级、科学监管，全面覆盖、动态调整，落实责任、提升效能”的原则，开展医疗器械生产经营分级监管工作，夯实各级药品监管部门监管责任，建立健全科学高效的监管模式，加强医疗器械生产经营监督管理，保障人民群众用械安全。</w:t>
      </w:r>
    </w:p>
    <w:p w14:paraId="0AEDF23B" w14:textId="77777777" w:rsidR="00E86F4E" w:rsidRPr="005A4789" w:rsidRDefault="00E86F4E" w:rsidP="005A4789">
      <w:pPr>
        <w:shd w:val="clear" w:color="auto" w:fill="FFFFFF"/>
        <w:ind w:firstLine="444"/>
        <w:rPr>
          <w:rFonts w:ascii="Arial" w:hAnsi="Arial" w:cs="宋体"/>
          <w:color w:val="000000"/>
          <w:kern w:val="0"/>
          <w:szCs w:val="24"/>
        </w:rPr>
      </w:pPr>
    </w:p>
    <w:p w14:paraId="2DD864AA"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二、开展医疗器械生产分级监管</w:t>
      </w:r>
    </w:p>
    <w:p w14:paraId="619A8906"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一）落实生产分级监管职责。国家药品监督管理局负责指导和检查全国医疗器械生产分级监管工作，制定医疗器械生产重点监管品种目录；省、自治区、直辖市药品监督管理部门负责制定本行政区域医疗器械生产重点监管品种目录，组织实施医疗器械生产分级监管工作；设区的市级负责药品监督管理的部门依法按职责负责本行政区域第一类医疗器械生产分级监管的具体工作。</w:t>
      </w:r>
    </w:p>
    <w:p w14:paraId="00879F06"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（二）结合实际确定重点监管品种目录。国家药品监督管理局根据医疗器械产品风险程度制定并动态调整医疗器械生产重点监管品种目录（见附件</w:t>
      </w:r>
      <w:r w:rsidRPr="005A4789">
        <w:rPr>
          <w:rFonts w:ascii="Arial" w:hAnsi="Arial" w:cs="宋体" w:hint="eastAsia"/>
          <w:color w:val="000000"/>
          <w:kern w:val="0"/>
          <w:szCs w:val="24"/>
        </w:rPr>
        <w:t>1</w:t>
      </w:r>
      <w:r w:rsidRPr="005A4789">
        <w:rPr>
          <w:rFonts w:ascii="Arial" w:hAnsi="Arial" w:cs="宋体" w:hint="eastAsia"/>
          <w:color w:val="000000"/>
          <w:kern w:val="0"/>
          <w:szCs w:val="24"/>
        </w:rPr>
        <w:t>）；省、自治区、直辖市药品监督管理部门应当综合分析本行政区域同类产品注册数量、市场占有率、生产质量管理总体水平和风险会商情况等因素，对国家药品监督管理局制定的目录进行补充，确定本行政区域医疗器械生产重点监管品种目录并进行动态调整。</w:t>
      </w:r>
    </w:p>
    <w:p w14:paraId="6DEC559C"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对于跨区域委托生产的医疗器械注册人，由注册人所在地省、自治区、直辖市药品监督管理部门负责研究确定其产品是否纳入本行政区域医疗器械生产重点监管品种目录。</w:t>
      </w:r>
    </w:p>
    <w:p w14:paraId="1E9D36DD"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三）制定分级监管细化规定。省、自治区、直辖市药品监督管理部门应当结合本行政区域产业发展、企业质量管理状况和监管资源配备情况，制定并印发医疗器械生产分级监管细化规定，明确监管级别划分原则，以及对不同监管级别医疗器械注册人备案人、受托生产企业的监督检查形式、频次和覆盖率。</w:t>
      </w:r>
    </w:p>
    <w:p w14:paraId="104E7E9A"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监管级别划分和检查要求可以按照以下原则：</w:t>
      </w:r>
    </w:p>
    <w:p w14:paraId="2E5B83E8"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对风险程度高的企业实施四级监管，主要包括生产本行政区域重点监管品种目录产品，以及质量管理体系运行状况差、有严重不良监管信用记录的企业；</w:t>
      </w:r>
    </w:p>
    <w:p w14:paraId="07E02A56"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lastRenderedPageBreak/>
        <w:t xml:space="preserve">　　对风险程度较高的企业实施三级监管，主要包括生产除本行政区域重点监管品种目录以外第三类医疗器械，以及质量管理体系运行状况较差、有不良监管信用记录的企业；</w:t>
      </w:r>
    </w:p>
    <w:p w14:paraId="3DC4CA8F"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对风险程度一般的企业实施二级监管，主要包括生产除本行政区域重点监管品种目录以外第二类医疗器械的企业；</w:t>
      </w:r>
    </w:p>
    <w:p w14:paraId="419B94F5"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对风险程度较低的企业实施一级监管，主要包括生产第一类医疗器械的企业。</w:t>
      </w:r>
    </w:p>
    <w:p w14:paraId="08AE6003"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涉及多个监管级别的，按照最高级别进行监管。</w:t>
      </w:r>
    </w:p>
    <w:p w14:paraId="24A600DF"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一般情况下，对实施四级监管的企业，每年全项目检查不少于一次；对实施三级监管的，每年检查不少于一次，其中每两年全项目检查不少于一次；对实施二级监管的，原则上每两年检查不少于一次；对实施一级监管的，原则上每年随机抽取本行政区域</w:t>
      </w:r>
      <w:r w:rsidRPr="005A4789">
        <w:rPr>
          <w:rFonts w:ascii="Arial" w:hAnsi="Arial" w:cs="宋体" w:hint="eastAsia"/>
          <w:color w:val="000000"/>
          <w:kern w:val="0"/>
          <w:szCs w:val="24"/>
        </w:rPr>
        <w:t>25%</w:t>
      </w:r>
      <w:r w:rsidRPr="005A4789">
        <w:rPr>
          <w:rFonts w:ascii="Arial" w:hAnsi="Arial" w:cs="宋体" w:hint="eastAsia"/>
          <w:color w:val="000000"/>
          <w:kern w:val="0"/>
          <w:szCs w:val="24"/>
        </w:rPr>
        <w:t>以上的企业进行监督检查，并对新增第一类医疗器械生产企业在生产备案之日起</w:t>
      </w:r>
      <w:r w:rsidRPr="005A4789">
        <w:rPr>
          <w:rFonts w:ascii="Arial" w:hAnsi="Arial" w:cs="宋体" w:hint="eastAsia"/>
          <w:color w:val="000000"/>
          <w:kern w:val="0"/>
          <w:szCs w:val="24"/>
        </w:rPr>
        <w:t>3</w:t>
      </w:r>
      <w:r w:rsidRPr="005A4789">
        <w:rPr>
          <w:rFonts w:ascii="Arial" w:hAnsi="Arial" w:cs="宋体" w:hint="eastAsia"/>
          <w:color w:val="000000"/>
          <w:kern w:val="0"/>
          <w:szCs w:val="24"/>
        </w:rPr>
        <w:t>个月内开展现场检查，必要时对生产地址变更或者生产范围增加的第一类医疗器械生产企业进行现场核查。监督检查可以与产品注册体系核查、生产许可变更或者延续现场核查等相结合，提高监管效能。</w:t>
      </w:r>
    </w:p>
    <w:p w14:paraId="0F7C442E"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全项目检查是指药品监督管理部门按照医疗器械生产质量管理规范及相应附录，对监管对象开展的覆盖全部适用项目的检查。对委托生产的医疗器械注册人备案人开展的全项目检查，应当包括对受托生产企业相应生产活动的检查。</w:t>
      </w:r>
    </w:p>
    <w:p w14:paraId="2D505208"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四）动态调整监管级别。省、自治区、直辖市药品监督管理部门应当根据医疗器械生产分级监管细化规定，结合监督检查、监督抽验、不良事件监测、产品召回、投诉举报和案件查办等情况，每年组织对本行政区域医疗器械注册人备案人、受托生产企业风险程度进行科学研判，确定监管级别并告知企业。对于当年内医疗器械注册人备案人、受托生产企业出现严重质量事故，新增高风险产品、国家集中带量采购中选产品、创新产品等情况，应当即时评估并调整其监管级别。</w:t>
      </w:r>
    </w:p>
    <w:p w14:paraId="7D67D505"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于长期以来监管信用状况较好的企业，可以酌情下调监管级别；对于以委托生产方式或者通过创新医疗器械审评审批通道取得产品上市许可，以及跨区域委托生产的医疗器械注册人，仅进行受托生产的受托生产企业，国家集中带量采购中选产品的医疗器械注册人备案人、受托生产企业应当酌情上调监管级别。具体调整方式由省、自治区、直辖市药品监管部门结合本行政区域企业整体监管信用状况、企业数量和监管资源配比等情况确定。</w:t>
      </w:r>
    </w:p>
    <w:p w14:paraId="13641209"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五）根据监管级别强化监督检查。省、自治区、直辖市药品监督管理部门应当按照分级监管规定，制定年度监督检查计划，明确检查频次和覆盖率，确定监管重点；坚持问题导向，综合运用监督检查、重点检查、跟踪检查、有因检查和专项检查等多种形式强化监督管理。监督检查可以采取非预先告知的方式进行，重点检查、有因检查和专项检查原则上采取非预先告知的方式进行。</w:t>
      </w:r>
    </w:p>
    <w:p w14:paraId="0114A86F" w14:textId="3EBB1ACB" w:rsidR="00E86F4E" w:rsidRPr="005A4789" w:rsidRDefault="004270DE" w:rsidP="004270DE">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w:t>
      </w:r>
      <w:r w:rsidR="00E86F4E" w:rsidRPr="005A4789">
        <w:rPr>
          <w:rFonts w:ascii="Arial" w:hAnsi="Arial" w:cs="宋体" w:hint="eastAsia"/>
          <w:color w:val="000000"/>
          <w:kern w:val="0"/>
          <w:szCs w:val="24"/>
        </w:rPr>
        <w:t>对于通过国家药品监督管理局创新医疗器械审评审批通道取得产品上市许可的医疗器械注册人及其受托生产企业，应当充分考虑创新医疗器械监管会商确定的监管风险点和监管措施；对于因停产导致质量管理体系无法持续有效运行的企业，应当跟踪掌握相关情况，采取有针对性的监管措施。</w:t>
      </w:r>
    </w:p>
    <w:p w14:paraId="4195216E" w14:textId="77777777" w:rsidR="00E86F4E" w:rsidRPr="005A4789" w:rsidRDefault="00E86F4E" w:rsidP="004270DE">
      <w:pPr>
        <w:shd w:val="clear" w:color="auto" w:fill="FFFFFF"/>
        <w:rPr>
          <w:rFonts w:ascii="Arial" w:hAnsi="Arial" w:cs="宋体"/>
          <w:color w:val="000000"/>
          <w:kern w:val="0"/>
          <w:szCs w:val="24"/>
        </w:rPr>
      </w:pPr>
    </w:p>
    <w:p w14:paraId="108E508A"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lastRenderedPageBreak/>
        <w:t xml:space="preserve">　　三、开展医疗器械经营分级监管</w:t>
      </w:r>
    </w:p>
    <w:p w14:paraId="3EB48A09"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六）落实经营分级监管职责。国家药品监督管理局负责指导和检查全国医疗器械经营分级监管工作，并制定医疗器械经营重点监管品种目录；省、自治区、直辖市药品监督管理部门负责指导和检查设区的市级负责药品监督管理的部门实施医疗器械经营分级监管工作；设区的市级负责药品监督管理的部门负责制定本行政区域医疗器械经营重点监管品种目录，组织实施医疗器械经营分级监管工作；县级负责药品监督管理的部门负责本行政区域内医疗器械经营分级监管具体工作。</w:t>
      </w:r>
    </w:p>
    <w:p w14:paraId="2F2060B0"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对于跨设区的市增设库房的医疗器械经营企业，按照属地管理原则，由经营企业和仓库所在地设区的市级负责药品监督管理的部门分别负责确定其监管级别并实施监管工作。</w:t>
      </w:r>
    </w:p>
    <w:p w14:paraId="082A00D4"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（七）结合实际确定重点监管品种目录。国家药品监督管理局根据医疗器械产品和产品经营风险程度，制定并动态调整医疗器械经营重点监管品种目录（见附件</w:t>
      </w:r>
      <w:r w:rsidRPr="005A4789">
        <w:rPr>
          <w:rFonts w:ascii="Arial" w:hAnsi="Arial" w:cs="宋体" w:hint="eastAsia"/>
          <w:color w:val="000000"/>
          <w:kern w:val="0"/>
          <w:szCs w:val="24"/>
        </w:rPr>
        <w:t>2</w:t>
      </w:r>
      <w:r w:rsidRPr="005A4789">
        <w:rPr>
          <w:rFonts w:ascii="Arial" w:hAnsi="Arial" w:cs="宋体" w:hint="eastAsia"/>
          <w:color w:val="000000"/>
          <w:kern w:val="0"/>
          <w:szCs w:val="24"/>
        </w:rPr>
        <w:t>）；设区的市级负责药品监督管理的部门应当综合分析产品监督抽验、不良事件监测、产品召回、质量投诉、风险会商情况等因素，对国家药品监督管理局制定的目录进行补充，确定本行政区域医疗器械经营重点监管品种目录并进行动态调整。</w:t>
      </w:r>
    </w:p>
    <w:p w14:paraId="4E6E8408" w14:textId="4C1570D1"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对于跨设区的市增设库房的医疗器械经营企业，由库房所在地设区的市级负责药品监督管理的部门负责确定其库存的产品是否属于本行政区域医疗器械经营重点监管产品。</w:t>
      </w:r>
    </w:p>
    <w:p w14:paraId="00CBF789"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八）制定分级监管细化规定。设区的市级负责药品监督管理的部门应当根据本行政区域医疗器械经营的风险程度、经营业态、质量管理水平和企业监管信用情况，结合医疗器械不良事件及产品投诉状况等因素，制定并印发分级监管细化规定，明确监管级别划分原则，以及对不同监管级别医疗器械经营企业的监督检查形式、频次和覆盖率。</w:t>
      </w:r>
    </w:p>
    <w:p w14:paraId="2BE3E0F8"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监管级别划分和检查要求可以按照以下原则进行：</w:t>
      </w:r>
    </w:p>
    <w:p w14:paraId="603A4549"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对风险程度高的企业实施四级监管，主要包括“为其他医疗器械注册人、备案人和生产经营企业专门提供贮存、运输服务的”经营企业和风险会商确定的重点检查企业；</w:t>
      </w:r>
    </w:p>
    <w:p w14:paraId="3680F9E5"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对风险程度较高的企业实施三级监管，主要包括本行政区域医疗器械经营重点监管品种目录产品涉及的批发企业，上年度存在行政处罚或者存在不良监管信用记录的经营企业；</w:t>
      </w:r>
    </w:p>
    <w:p w14:paraId="0CFF856F"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对风险程度一般的企业实施二级监管，主要包括除三级、四级监管以外的经营第二、三类医疗器械的批发企业，本行政区域医疗器械经营重点监管品种目录产品涉及的零售企业；</w:t>
      </w:r>
    </w:p>
    <w:p w14:paraId="41AEB27D"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对风险程度较低的企业实施一级监管，主要包括除二、三、四级监管以外的其他医疗器械经营企业。</w:t>
      </w:r>
    </w:p>
    <w:p w14:paraId="660243F8"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涉及多个监管级别的，按最高级别对其进行监管。</w:t>
      </w:r>
    </w:p>
    <w:p w14:paraId="7FF663C5"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实施四级监管的企业，设区的市级负责药品监督管理的部门每年组织全项目检查不少于一次；实施三级监管的企业，设区的市级负责药品监督管理的部门每年组织检查不少于一次，其中每两年全项目检查不少于一次；实施二级监管的企业，县级负责</w:t>
      </w:r>
      <w:r w:rsidRPr="005A4789">
        <w:rPr>
          <w:rFonts w:ascii="Arial" w:hAnsi="Arial" w:cs="宋体" w:hint="eastAsia"/>
          <w:color w:val="000000"/>
          <w:kern w:val="0"/>
          <w:szCs w:val="24"/>
        </w:rPr>
        <w:lastRenderedPageBreak/>
        <w:t>药品监督管理的部门每两年组织检查不少于一次，对角膜接触镜类和防护类产品零售企业可以根据监管需要确定检查频次；实施一级监管的企业，县级负责药品监督管理的部门按照有关要求，每年随机抽取本行政区域</w:t>
      </w:r>
      <w:r w:rsidRPr="005A4789">
        <w:rPr>
          <w:rFonts w:ascii="Arial" w:hAnsi="Arial" w:cs="宋体" w:hint="eastAsia"/>
          <w:color w:val="000000"/>
          <w:kern w:val="0"/>
          <w:szCs w:val="24"/>
        </w:rPr>
        <w:t>25%</w:t>
      </w:r>
      <w:r w:rsidRPr="005A4789">
        <w:rPr>
          <w:rFonts w:ascii="Arial" w:hAnsi="Arial" w:cs="宋体" w:hint="eastAsia"/>
          <w:color w:val="000000"/>
          <w:kern w:val="0"/>
          <w:szCs w:val="24"/>
        </w:rPr>
        <w:t>以上的企业进行监督检查，</w:t>
      </w:r>
      <w:r w:rsidRPr="005A4789">
        <w:rPr>
          <w:rFonts w:ascii="Arial" w:hAnsi="Arial" w:cs="宋体" w:hint="eastAsia"/>
          <w:color w:val="000000"/>
          <w:kern w:val="0"/>
          <w:szCs w:val="24"/>
        </w:rPr>
        <w:t>4</w:t>
      </w:r>
      <w:r w:rsidRPr="005A4789">
        <w:rPr>
          <w:rFonts w:ascii="Arial" w:hAnsi="Arial" w:cs="宋体" w:hint="eastAsia"/>
          <w:color w:val="000000"/>
          <w:kern w:val="0"/>
          <w:szCs w:val="24"/>
        </w:rPr>
        <w:t>年内达到全覆盖。必要时，对新增经营业态的企业进行现场核查。</w:t>
      </w:r>
    </w:p>
    <w:p w14:paraId="2A5E853D"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全项目检查是指药品监督管理部门按照医疗器械经营质量管理规范及相应附录，对经营企业开展的覆盖全部适用项目的检查。对“为其他医疗器械注册人、备案人和生产经营企业专门提供贮存、运输服务的”经营企业开展的全项目检查，应当包括对委托的经营企业的抽查。</w:t>
      </w:r>
    </w:p>
    <w:p w14:paraId="072A34A1"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九）动态调整监管级别。设区的市级负责药品监督管理的部门应当根据医疗器械经营分级监管细化规定，在全面有效归集医疗器械产品、企业和监管等信息的基础上，每年组织对本行政区域医疗器械经营企业、跨设区的市增设库房的医疗器械经营企业进行评估，科学研判企业风险程度，确定监管级别并告知企业。对于新增经营业态等特殊情况可以即时确定或调整企业监管级别。</w:t>
      </w:r>
    </w:p>
    <w:p w14:paraId="7931B231"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对于长期以来监管信用情况较好的企业，可以酌情下调监管级别；对于存在严重违法违规行为、异地增设库房、国家集中带量采购中选产品和疫情防控用产品经营企业应当酌情上调监管级别。具体调整方式由设区的市级负责药品监管的部门结合本行政区域企业整体监管信用状况、企业数量和监管资源配比等情况确定。</w:t>
      </w:r>
    </w:p>
    <w:p w14:paraId="028DFA5D" w14:textId="6D95EBA6" w:rsidR="00E86F4E" w:rsidRPr="005A4789" w:rsidRDefault="004270DE" w:rsidP="004270DE">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w:t>
      </w:r>
      <w:r w:rsidR="00E86F4E" w:rsidRPr="005A4789">
        <w:rPr>
          <w:rFonts w:ascii="Arial" w:hAnsi="Arial" w:cs="宋体" w:hint="eastAsia"/>
          <w:color w:val="000000"/>
          <w:kern w:val="0"/>
          <w:szCs w:val="24"/>
        </w:rPr>
        <w:t>（十）根据监管级别强化监督检查。地方各级负责药品监督管理的部门应当根据监管级别，制定年度监督检查计划，明确检查重点、检查方式、检查频次和覆盖率。检查方式原则上应当采取突击性监督检查，鼓励采用现代信息技术手段实施监督管理，提高监管效率和水平。</w:t>
      </w:r>
    </w:p>
    <w:p w14:paraId="6D0EDAD5" w14:textId="77777777" w:rsidR="00E86F4E" w:rsidRPr="005A4789" w:rsidRDefault="00E86F4E" w:rsidP="004270DE">
      <w:pPr>
        <w:shd w:val="clear" w:color="auto" w:fill="FFFFFF"/>
        <w:rPr>
          <w:rFonts w:ascii="Arial" w:hAnsi="Arial" w:cs="宋体"/>
          <w:color w:val="000000"/>
          <w:kern w:val="0"/>
          <w:szCs w:val="24"/>
        </w:rPr>
      </w:pPr>
    </w:p>
    <w:p w14:paraId="1BCA7F4E"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四、加强监督管理，提高监管效能</w:t>
      </w:r>
    </w:p>
    <w:p w14:paraId="42828BAF"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十一）加强组织领导。各级药品监督管理部门要切实提高政治站位，充分认识在监管对象数量大幅增加、注册人备案人制度全面实施、经营新业态层出不穷的形势下，进一步加强分级监管、提升监管效能、推进风险治理的重要意义。各省级药品监督管理部门要按照国家药品监督管理局统一部署，加强统筹协调，发挥主导作用，建立健全跨区域跨层级协同监管机制，强化协作配合，加强对市、县级负责药品监督管理的部门工作的监督指导，上下联动，一体推进医疗器械生产经营分级监管工作。</w:t>
      </w:r>
    </w:p>
    <w:p w14:paraId="253599D5"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十二）加强问题处置。地方各级药品监督管理部门应当贯彻“四个最严”要求，对检查发现的问题，严格依照法规、规章、标准、规范等要求处置，涉及重大问题的，应当及时处置并向上级药品监督管理部门报告。对于产业发展中出现的新问题，相关药品监管部门应当及时调整完善分级管理细化规定，实现监管精准化、科学化、实效化，确保监管全覆盖、无缝隙。各省级药品监督管理部门要定期组织专家研判本行政区域医疗器械生产经营安全形势，分析共性问题、突出问题、薄弱环节，提出改进措施，形成年度报告。</w:t>
      </w:r>
    </w:p>
    <w:p w14:paraId="145B5161"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十三）加强能力建设。各级药品监督管理部门要持续加强能力建设，完善检查执法体系和稽查办案机制，充实职业化专业化检查员队伍，加强稽查队伍建设，创新检查方式方法，强化检查稽查协同和执法联动。各级药品监督管理部门要查找监管能</w:t>
      </w:r>
      <w:r w:rsidRPr="005A4789">
        <w:rPr>
          <w:rFonts w:ascii="Arial" w:hAnsi="Arial" w:cs="宋体" w:hint="eastAsia"/>
          <w:color w:val="000000"/>
          <w:kern w:val="0"/>
          <w:szCs w:val="24"/>
        </w:rPr>
        <w:lastRenderedPageBreak/>
        <w:t>力短板，明确监管能力建设目标和建设方向，丰富监管资源，促进科学分配，助推医疗器械产业高质量发展，更好地满足人民群众对医疗器械安全的需求。</w:t>
      </w:r>
    </w:p>
    <w:p w14:paraId="0E4DB748" w14:textId="77777777" w:rsidR="00E86F4E" w:rsidRPr="005A4789" w:rsidRDefault="00E86F4E" w:rsidP="005A4789">
      <w:pPr>
        <w:shd w:val="clear" w:color="auto" w:fill="FFFFFF"/>
        <w:rPr>
          <w:rFonts w:ascii="Arial" w:hAnsi="Arial" w:cs="宋体"/>
          <w:color w:val="000000"/>
          <w:kern w:val="0"/>
          <w:szCs w:val="24"/>
        </w:rPr>
      </w:pPr>
      <w:r w:rsidRPr="005A4789">
        <w:rPr>
          <w:rFonts w:ascii="Arial" w:hAnsi="Arial" w:cs="宋体" w:hint="eastAsia"/>
          <w:color w:val="000000"/>
          <w:kern w:val="0"/>
          <w:szCs w:val="24"/>
        </w:rPr>
        <w:t xml:space="preserve">　　本指导意见自</w:t>
      </w:r>
      <w:r w:rsidRPr="005A4789">
        <w:rPr>
          <w:rFonts w:ascii="Arial" w:hAnsi="Arial" w:cs="宋体" w:hint="eastAsia"/>
          <w:color w:val="000000"/>
          <w:kern w:val="0"/>
          <w:szCs w:val="24"/>
        </w:rPr>
        <w:t>2023</w:t>
      </w:r>
      <w:r w:rsidRPr="005A4789">
        <w:rPr>
          <w:rFonts w:ascii="Arial" w:hAnsi="Arial" w:cs="宋体" w:hint="eastAsia"/>
          <w:color w:val="000000"/>
          <w:kern w:val="0"/>
          <w:szCs w:val="24"/>
        </w:rPr>
        <w:t>年</w:t>
      </w:r>
      <w:r w:rsidRPr="005A4789">
        <w:rPr>
          <w:rFonts w:ascii="Arial" w:hAnsi="Arial" w:cs="宋体" w:hint="eastAsia"/>
          <w:color w:val="000000"/>
          <w:kern w:val="0"/>
          <w:szCs w:val="24"/>
        </w:rPr>
        <w:t>1</w:t>
      </w:r>
      <w:r w:rsidRPr="005A4789">
        <w:rPr>
          <w:rFonts w:ascii="Arial" w:hAnsi="Arial" w:cs="宋体" w:hint="eastAsia"/>
          <w:color w:val="000000"/>
          <w:kern w:val="0"/>
          <w:szCs w:val="24"/>
        </w:rPr>
        <w:t>月</w:t>
      </w:r>
      <w:r w:rsidRPr="005A4789">
        <w:rPr>
          <w:rFonts w:ascii="Arial" w:hAnsi="Arial" w:cs="宋体" w:hint="eastAsia"/>
          <w:color w:val="000000"/>
          <w:kern w:val="0"/>
          <w:szCs w:val="24"/>
        </w:rPr>
        <w:t>1</w:t>
      </w:r>
      <w:r w:rsidRPr="005A4789">
        <w:rPr>
          <w:rFonts w:ascii="Arial" w:hAnsi="Arial" w:cs="宋体" w:hint="eastAsia"/>
          <w:color w:val="000000"/>
          <w:kern w:val="0"/>
          <w:szCs w:val="24"/>
        </w:rPr>
        <w:t>日起施行。原国家食品药品监督管理总局《关于印发〈医疗器械生产企业分类分级监督管理规定〉的通知》（食药监械监〔</w:t>
      </w:r>
      <w:r w:rsidRPr="005A4789">
        <w:rPr>
          <w:rFonts w:ascii="Arial" w:hAnsi="Arial" w:cs="宋体" w:hint="eastAsia"/>
          <w:color w:val="000000"/>
          <w:kern w:val="0"/>
          <w:szCs w:val="24"/>
        </w:rPr>
        <w:t>2014</w:t>
      </w:r>
      <w:r w:rsidRPr="005A4789">
        <w:rPr>
          <w:rFonts w:ascii="Arial" w:hAnsi="Arial" w:cs="宋体" w:hint="eastAsia"/>
          <w:color w:val="000000"/>
          <w:kern w:val="0"/>
          <w:szCs w:val="24"/>
        </w:rPr>
        <w:t>〕</w:t>
      </w:r>
      <w:r w:rsidRPr="005A4789">
        <w:rPr>
          <w:rFonts w:ascii="Arial" w:hAnsi="Arial" w:cs="宋体" w:hint="eastAsia"/>
          <w:color w:val="000000"/>
          <w:kern w:val="0"/>
          <w:szCs w:val="24"/>
        </w:rPr>
        <w:t>234</w:t>
      </w:r>
      <w:r w:rsidRPr="005A4789">
        <w:rPr>
          <w:rFonts w:ascii="Arial" w:hAnsi="Arial" w:cs="宋体" w:hint="eastAsia"/>
          <w:color w:val="000000"/>
          <w:kern w:val="0"/>
          <w:szCs w:val="24"/>
        </w:rPr>
        <w:t>号）、《关于印发国家重点监管医疗器械目录的通知》（食药监械监〔</w:t>
      </w:r>
      <w:r w:rsidRPr="005A4789">
        <w:rPr>
          <w:rFonts w:ascii="Arial" w:hAnsi="Arial" w:cs="宋体" w:hint="eastAsia"/>
          <w:color w:val="000000"/>
          <w:kern w:val="0"/>
          <w:szCs w:val="24"/>
        </w:rPr>
        <w:t>2014</w:t>
      </w:r>
      <w:r w:rsidRPr="005A4789">
        <w:rPr>
          <w:rFonts w:ascii="Arial" w:hAnsi="Arial" w:cs="宋体" w:hint="eastAsia"/>
          <w:color w:val="000000"/>
          <w:kern w:val="0"/>
          <w:szCs w:val="24"/>
        </w:rPr>
        <w:t>〕</w:t>
      </w:r>
      <w:r w:rsidRPr="005A4789">
        <w:rPr>
          <w:rFonts w:ascii="Arial" w:hAnsi="Arial" w:cs="宋体" w:hint="eastAsia"/>
          <w:color w:val="000000"/>
          <w:kern w:val="0"/>
          <w:szCs w:val="24"/>
        </w:rPr>
        <w:t>235</w:t>
      </w:r>
      <w:r w:rsidRPr="005A4789">
        <w:rPr>
          <w:rFonts w:ascii="Arial" w:hAnsi="Arial" w:cs="宋体" w:hint="eastAsia"/>
          <w:color w:val="000000"/>
          <w:kern w:val="0"/>
          <w:szCs w:val="24"/>
        </w:rPr>
        <w:t>号）、《关于印发〈医疗器械经营企业分类分级监督管理规定〉的通知》（食药监械监〔</w:t>
      </w:r>
      <w:r w:rsidRPr="005A4789">
        <w:rPr>
          <w:rFonts w:ascii="Arial" w:hAnsi="Arial" w:cs="宋体" w:hint="eastAsia"/>
          <w:color w:val="000000"/>
          <w:kern w:val="0"/>
          <w:szCs w:val="24"/>
        </w:rPr>
        <w:t>2015</w:t>
      </w:r>
      <w:r w:rsidRPr="005A4789">
        <w:rPr>
          <w:rFonts w:ascii="Arial" w:hAnsi="Arial" w:cs="宋体" w:hint="eastAsia"/>
          <w:color w:val="000000"/>
          <w:kern w:val="0"/>
          <w:szCs w:val="24"/>
        </w:rPr>
        <w:t>〕</w:t>
      </w:r>
      <w:r w:rsidRPr="005A4789">
        <w:rPr>
          <w:rFonts w:ascii="Arial" w:hAnsi="Arial" w:cs="宋体" w:hint="eastAsia"/>
          <w:color w:val="000000"/>
          <w:kern w:val="0"/>
          <w:szCs w:val="24"/>
        </w:rPr>
        <w:t>158</w:t>
      </w:r>
      <w:r w:rsidRPr="005A4789">
        <w:rPr>
          <w:rFonts w:ascii="Arial" w:hAnsi="Arial" w:cs="宋体" w:hint="eastAsia"/>
          <w:color w:val="000000"/>
          <w:kern w:val="0"/>
          <w:szCs w:val="24"/>
        </w:rPr>
        <w:t>号）和《医疗器械经营环节重点监管目录及现场检查重点内容》（食药监械监〔</w:t>
      </w:r>
      <w:r w:rsidRPr="005A4789">
        <w:rPr>
          <w:rFonts w:ascii="Arial" w:hAnsi="Arial" w:cs="宋体" w:hint="eastAsia"/>
          <w:color w:val="000000"/>
          <w:kern w:val="0"/>
          <w:szCs w:val="24"/>
        </w:rPr>
        <w:t>2015</w:t>
      </w:r>
      <w:r w:rsidRPr="005A4789">
        <w:rPr>
          <w:rFonts w:ascii="Arial" w:hAnsi="Arial" w:cs="宋体" w:hint="eastAsia"/>
          <w:color w:val="000000"/>
          <w:kern w:val="0"/>
          <w:szCs w:val="24"/>
        </w:rPr>
        <w:t>〕</w:t>
      </w:r>
      <w:r w:rsidRPr="005A4789">
        <w:rPr>
          <w:rFonts w:ascii="Arial" w:hAnsi="Arial" w:cs="宋体" w:hint="eastAsia"/>
          <w:color w:val="000000"/>
          <w:kern w:val="0"/>
          <w:szCs w:val="24"/>
        </w:rPr>
        <w:t>159</w:t>
      </w:r>
      <w:r w:rsidRPr="005A4789">
        <w:rPr>
          <w:rFonts w:ascii="Arial" w:hAnsi="Arial" w:cs="宋体" w:hint="eastAsia"/>
          <w:color w:val="000000"/>
          <w:kern w:val="0"/>
          <w:szCs w:val="24"/>
        </w:rPr>
        <w:t>号）同时废止。</w:t>
      </w:r>
    </w:p>
    <w:p w14:paraId="567CEBBE" w14:textId="7757C3B8" w:rsidR="00E86F4E" w:rsidRPr="00E86F4E" w:rsidRDefault="00E86F4E" w:rsidP="005A4789">
      <w:pPr>
        <w:shd w:val="clear" w:color="auto" w:fill="FFFFFF"/>
        <w:rPr>
          <w:rFonts w:ascii="Arial" w:hAnsi="Arial" w:cs="宋体"/>
          <w:color w:val="000000"/>
          <w:kern w:val="0"/>
          <w:szCs w:val="24"/>
        </w:rPr>
      </w:pPr>
    </w:p>
    <w:p w14:paraId="116CC6C5" w14:textId="7D88CC5C" w:rsidR="00E86F4E" w:rsidRPr="00E86F4E" w:rsidRDefault="00E86F4E" w:rsidP="005A4789">
      <w:pPr>
        <w:shd w:val="clear" w:color="auto" w:fill="FFFFFF"/>
        <w:rPr>
          <w:rFonts w:ascii="Arial" w:hAnsi="Arial" w:cs="宋体"/>
          <w:color w:val="000000"/>
          <w:kern w:val="0"/>
          <w:szCs w:val="24"/>
        </w:rPr>
      </w:pPr>
      <w:r w:rsidRPr="00E86F4E">
        <w:rPr>
          <w:rFonts w:ascii="Arial" w:hAnsi="Arial" w:cs="宋体" w:hint="eastAsia"/>
          <w:color w:val="000000"/>
          <w:kern w:val="0"/>
          <w:szCs w:val="24"/>
        </w:rPr>
        <w:t xml:space="preserve">　　附件：</w:t>
      </w:r>
      <w:r w:rsidRPr="00E86F4E">
        <w:rPr>
          <w:rFonts w:ascii="Arial" w:hAnsi="Arial" w:cs="宋体" w:hint="eastAsia"/>
          <w:color w:val="000000"/>
          <w:kern w:val="0"/>
          <w:szCs w:val="24"/>
        </w:rPr>
        <w:t>1.</w:t>
      </w:r>
      <w:hyperlink r:id="rId6" w:history="1">
        <w:r w:rsidRPr="00E86F4E">
          <w:rPr>
            <w:rStyle w:val="a3"/>
            <w:rFonts w:ascii="Arial" w:hAnsi="Arial" w:cs="宋体" w:hint="eastAsia"/>
            <w:kern w:val="0"/>
            <w:szCs w:val="24"/>
          </w:rPr>
          <w:t>医疗器械生产重点监管品种目录</w:t>
        </w:r>
      </w:hyperlink>
    </w:p>
    <w:p w14:paraId="151238E1" w14:textId="1B5A409D" w:rsidR="00E86F4E" w:rsidRPr="00E86F4E" w:rsidRDefault="00E86F4E" w:rsidP="005A4789">
      <w:pPr>
        <w:shd w:val="clear" w:color="auto" w:fill="FFFFFF"/>
        <w:rPr>
          <w:rFonts w:ascii="Arial" w:hAnsi="Arial" w:cs="宋体"/>
          <w:color w:val="000000"/>
          <w:kern w:val="0"/>
          <w:szCs w:val="24"/>
        </w:rPr>
      </w:pPr>
      <w:r w:rsidRPr="00E86F4E">
        <w:rPr>
          <w:rFonts w:ascii="Arial" w:hAnsi="Arial" w:cs="宋体" w:hint="eastAsia"/>
          <w:color w:val="000000"/>
          <w:kern w:val="0"/>
          <w:szCs w:val="24"/>
        </w:rPr>
        <w:t xml:space="preserve">　　　　　</w:t>
      </w:r>
      <w:r w:rsidRPr="00E86F4E">
        <w:rPr>
          <w:rFonts w:ascii="Arial" w:hAnsi="Arial" w:cs="宋体" w:hint="eastAsia"/>
          <w:color w:val="000000"/>
          <w:kern w:val="0"/>
          <w:szCs w:val="24"/>
        </w:rPr>
        <w:t>2.</w:t>
      </w:r>
      <w:hyperlink r:id="rId7" w:history="1">
        <w:r w:rsidRPr="00E86F4E">
          <w:rPr>
            <w:rStyle w:val="a3"/>
            <w:rFonts w:ascii="Arial" w:hAnsi="Arial" w:cs="宋体" w:hint="eastAsia"/>
            <w:kern w:val="0"/>
            <w:szCs w:val="24"/>
          </w:rPr>
          <w:t>医疗器械经营重点监管品种目录</w:t>
        </w:r>
      </w:hyperlink>
    </w:p>
    <w:p w14:paraId="2593C57E" w14:textId="79498DDE" w:rsidR="00E86F4E" w:rsidRPr="00E86F4E" w:rsidRDefault="00E86F4E" w:rsidP="005A4789">
      <w:pPr>
        <w:shd w:val="clear" w:color="auto" w:fill="FFFFFF"/>
        <w:rPr>
          <w:rFonts w:ascii="Arial" w:hAnsi="Arial" w:cs="宋体"/>
          <w:color w:val="000000"/>
          <w:kern w:val="0"/>
          <w:szCs w:val="24"/>
        </w:rPr>
      </w:pPr>
    </w:p>
    <w:p w14:paraId="310C2726" w14:textId="10F60816" w:rsidR="00E86F4E" w:rsidRPr="00E86F4E" w:rsidRDefault="00E86F4E" w:rsidP="005A4789">
      <w:pPr>
        <w:shd w:val="clear" w:color="auto" w:fill="FFFFFF"/>
        <w:rPr>
          <w:rFonts w:ascii="Arial" w:hAnsi="Arial" w:cs="宋体"/>
          <w:color w:val="000000"/>
          <w:kern w:val="0"/>
          <w:szCs w:val="24"/>
        </w:rPr>
      </w:pPr>
    </w:p>
    <w:p w14:paraId="3A46B55F" w14:textId="211F32BF" w:rsidR="00E86F4E" w:rsidRPr="00E86F4E" w:rsidRDefault="00E86F4E" w:rsidP="005A4789">
      <w:pPr>
        <w:shd w:val="clear" w:color="auto" w:fill="FFFFFF"/>
        <w:jc w:val="right"/>
        <w:rPr>
          <w:rFonts w:ascii="Arial" w:hAnsi="Arial" w:cs="宋体"/>
          <w:color w:val="000000"/>
          <w:kern w:val="0"/>
          <w:szCs w:val="24"/>
        </w:rPr>
      </w:pPr>
      <w:r w:rsidRPr="00E86F4E">
        <w:rPr>
          <w:rFonts w:ascii="Arial" w:hAnsi="Arial" w:cs="宋体" w:hint="eastAsia"/>
          <w:color w:val="000000"/>
          <w:kern w:val="0"/>
          <w:szCs w:val="24"/>
        </w:rPr>
        <w:t>国家药监局综合司</w:t>
      </w:r>
    </w:p>
    <w:p w14:paraId="5ABB3403" w14:textId="44EA8CD2" w:rsidR="00E86F4E" w:rsidRDefault="00E86F4E" w:rsidP="004270DE">
      <w:pPr>
        <w:shd w:val="clear" w:color="auto" w:fill="FFFFFF"/>
        <w:jc w:val="right"/>
        <w:rPr>
          <w:rFonts w:ascii="Arial" w:hAnsi="Arial" w:cs="宋体"/>
          <w:color w:val="000000"/>
          <w:kern w:val="0"/>
          <w:szCs w:val="24"/>
        </w:rPr>
      </w:pPr>
      <w:r w:rsidRPr="00E86F4E">
        <w:rPr>
          <w:rFonts w:ascii="Arial" w:hAnsi="Arial" w:cs="宋体" w:hint="eastAsia"/>
          <w:color w:val="000000"/>
          <w:kern w:val="0"/>
          <w:szCs w:val="24"/>
        </w:rPr>
        <w:t>2022</w:t>
      </w:r>
      <w:r w:rsidRPr="00E86F4E">
        <w:rPr>
          <w:rFonts w:ascii="Arial" w:hAnsi="Arial" w:cs="宋体" w:hint="eastAsia"/>
          <w:color w:val="000000"/>
          <w:kern w:val="0"/>
          <w:szCs w:val="24"/>
        </w:rPr>
        <w:t>年</w:t>
      </w:r>
      <w:r w:rsidRPr="00E86F4E">
        <w:rPr>
          <w:rFonts w:ascii="Arial" w:hAnsi="Arial" w:cs="宋体" w:hint="eastAsia"/>
          <w:color w:val="000000"/>
          <w:kern w:val="0"/>
          <w:szCs w:val="24"/>
        </w:rPr>
        <w:t>9</w:t>
      </w:r>
      <w:r w:rsidRPr="00E86F4E">
        <w:rPr>
          <w:rFonts w:ascii="Arial" w:hAnsi="Arial" w:cs="宋体" w:hint="eastAsia"/>
          <w:color w:val="000000"/>
          <w:kern w:val="0"/>
          <w:szCs w:val="24"/>
        </w:rPr>
        <w:t>月</w:t>
      </w:r>
      <w:r w:rsidRPr="00E86F4E">
        <w:rPr>
          <w:rFonts w:ascii="Arial" w:hAnsi="Arial" w:cs="宋体" w:hint="eastAsia"/>
          <w:color w:val="000000"/>
          <w:kern w:val="0"/>
          <w:szCs w:val="24"/>
        </w:rPr>
        <w:t>7</w:t>
      </w:r>
      <w:r w:rsidRPr="00E86F4E">
        <w:rPr>
          <w:rFonts w:ascii="Arial" w:hAnsi="Arial" w:cs="宋体" w:hint="eastAsia"/>
          <w:color w:val="000000"/>
          <w:kern w:val="0"/>
          <w:szCs w:val="24"/>
        </w:rPr>
        <w:t>日</w:t>
      </w:r>
    </w:p>
    <w:p w14:paraId="371FFA77" w14:textId="60D867E4" w:rsidR="004270DE" w:rsidRDefault="004270DE" w:rsidP="004270DE">
      <w:pPr>
        <w:shd w:val="clear" w:color="auto" w:fill="FFFFFF"/>
        <w:ind w:right="440"/>
        <w:jc w:val="both"/>
        <w:rPr>
          <w:rFonts w:ascii="Arial" w:hAnsi="Arial" w:cs="宋体"/>
          <w:color w:val="000000"/>
          <w:kern w:val="0"/>
          <w:szCs w:val="24"/>
        </w:rPr>
      </w:pPr>
    </w:p>
    <w:p w14:paraId="69168CAA" w14:textId="77777777" w:rsidR="004270DE" w:rsidRPr="00E86F4E" w:rsidRDefault="004270DE" w:rsidP="004270DE">
      <w:pPr>
        <w:shd w:val="clear" w:color="auto" w:fill="FFFFFF"/>
        <w:ind w:right="440"/>
        <w:jc w:val="both"/>
        <w:rPr>
          <w:rFonts w:ascii="Arial" w:hAnsi="Arial" w:cs="宋体"/>
          <w:color w:val="000000"/>
          <w:kern w:val="0"/>
          <w:szCs w:val="24"/>
        </w:rPr>
      </w:pPr>
    </w:p>
    <w:p w14:paraId="5FC1D3B6" w14:textId="0ED9AF33" w:rsidR="00F45EEB" w:rsidRDefault="00E86F4E" w:rsidP="005A4789">
      <w:pPr>
        <w:rPr>
          <w:rFonts w:ascii="Arial" w:hAnsi="Arial"/>
        </w:rPr>
      </w:pPr>
      <w:r>
        <w:rPr>
          <w:rFonts w:ascii="Arial" w:hAnsi="Arial" w:hint="eastAsia"/>
        </w:rPr>
        <w:t>信息来源：</w:t>
      </w:r>
    </w:p>
    <w:p w14:paraId="5022E9BB" w14:textId="50B3D7F3" w:rsidR="00E86F4E" w:rsidRDefault="00000000" w:rsidP="005A4789">
      <w:pPr>
        <w:rPr>
          <w:rFonts w:ascii="Arial" w:hAnsi="Arial"/>
        </w:rPr>
      </w:pPr>
      <w:hyperlink r:id="rId8" w:history="1">
        <w:r w:rsidR="00E86F4E" w:rsidRPr="00407E58">
          <w:rPr>
            <w:rStyle w:val="a3"/>
            <w:rFonts w:ascii="Arial" w:hAnsi="Arial"/>
          </w:rPr>
          <w:t>https://www.nmpa.gov.cn/xxgk/fgwj/gzwj/gzwjylqx/20220909171207137.html</w:t>
        </w:r>
      </w:hyperlink>
    </w:p>
    <w:p w14:paraId="2F7CED1E" w14:textId="77777777" w:rsidR="00E86F4E" w:rsidRPr="00E86F4E" w:rsidRDefault="00E86F4E" w:rsidP="005A4789">
      <w:pPr>
        <w:rPr>
          <w:rFonts w:ascii="Arial" w:hAnsi="Arial"/>
        </w:rPr>
      </w:pPr>
    </w:p>
    <w:sectPr w:rsidR="00E86F4E" w:rsidRPr="00E86F4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CB022" w14:textId="77777777" w:rsidR="000D6AB5" w:rsidRDefault="000D6AB5" w:rsidP="00BD5C9D">
      <w:pPr>
        <w:spacing w:line="240" w:lineRule="auto"/>
      </w:pPr>
      <w:r>
        <w:separator/>
      </w:r>
    </w:p>
  </w:endnote>
  <w:endnote w:type="continuationSeparator" w:id="0">
    <w:p w14:paraId="0AE6BEB5" w14:textId="77777777" w:rsidR="000D6AB5" w:rsidRDefault="000D6AB5" w:rsidP="00BD5C9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980FECB" w14:textId="77777777" w:rsidR="000D6AB5" w:rsidRDefault="000D6AB5" w:rsidP="00BD5C9D">
      <w:pPr>
        <w:spacing w:line="240" w:lineRule="auto"/>
      </w:pPr>
      <w:r>
        <w:separator/>
      </w:r>
    </w:p>
  </w:footnote>
  <w:footnote w:type="continuationSeparator" w:id="0">
    <w:p w14:paraId="0D2585CB" w14:textId="77777777" w:rsidR="000D6AB5" w:rsidRDefault="000D6AB5" w:rsidP="00BD5C9D">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bordersDoNotSurroundHeader/>
  <w:bordersDoNotSurroundFooter/>
  <w:proofState w:spelling="clean"/>
  <w:defaultTabStop w:val="42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E86F4E"/>
    <w:rsid w:val="000D6AB5"/>
    <w:rsid w:val="00280C49"/>
    <w:rsid w:val="004270DE"/>
    <w:rsid w:val="00555867"/>
    <w:rsid w:val="005A4789"/>
    <w:rsid w:val="00B41EDF"/>
    <w:rsid w:val="00B442D9"/>
    <w:rsid w:val="00BD5C9D"/>
    <w:rsid w:val="00E86F4E"/>
    <w:rsid w:val="00F45EE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334AC97"/>
  <w15:chartTrackingRefBased/>
  <w15:docId w15:val="{0CD47E50-64E3-4EAF-9040-18FD4EA43E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宋体" w:eastAsia="宋体" w:hAnsi="宋体" w:cstheme="minorBidi"/>
        <w:kern w:val="2"/>
        <w:sz w:val="22"/>
        <w:szCs w:val="28"/>
        <w:lang w:val="en-US" w:eastAsia="zh-CN"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E86F4E"/>
    <w:rPr>
      <w:color w:val="0563C1" w:themeColor="hyperlink"/>
      <w:u w:val="single"/>
    </w:rPr>
  </w:style>
  <w:style w:type="character" w:styleId="a4">
    <w:name w:val="Unresolved Mention"/>
    <w:basedOn w:val="a0"/>
    <w:uiPriority w:val="99"/>
    <w:semiHidden/>
    <w:unhideWhenUsed/>
    <w:rsid w:val="00E86F4E"/>
    <w:rPr>
      <w:color w:val="605E5C"/>
      <w:shd w:val="clear" w:color="auto" w:fill="E1DFDD"/>
    </w:rPr>
  </w:style>
  <w:style w:type="character" w:styleId="a5">
    <w:name w:val="FollowedHyperlink"/>
    <w:basedOn w:val="a0"/>
    <w:uiPriority w:val="99"/>
    <w:semiHidden/>
    <w:unhideWhenUsed/>
    <w:rsid w:val="00E86F4E"/>
    <w:rPr>
      <w:color w:val="954F72" w:themeColor="followedHyperlink"/>
      <w:u w:val="single"/>
    </w:rPr>
  </w:style>
  <w:style w:type="paragraph" w:styleId="a6">
    <w:name w:val="Date"/>
    <w:basedOn w:val="a"/>
    <w:next w:val="a"/>
    <w:link w:val="a7"/>
    <w:uiPriority w:val="99"/>
    <w:semiHidden/>
    <w:unhideWhenUsed/>
    <w:rsid w:val="00E86F4E"/>
    <w:pPr>
      <w:ind w:leftChars="2500" w:left="100"/>
    </w:pPr>
  </w:style>
  <w:style w:type="character" w:customStyle="1" w:styleId="a7">
    <w:name w:val="日期 字符"/>
    <w:basedOn w:val="a0"/>
    <w:link w:val="a6"/>
    <w:uiPriority w:val="99"/>
    <w:semiHidden/>
    <w:rsid w:val="00E86F4E"/>
  </w:style>
  <w:style w:type="paragraph" w:customStyle="1" w:styleId="AD">
    <w:name w:val="AD"/>
    <w:basedOn w:val="a"/>
    <w:rsid w:val="00E86F4E"/>
    <w:pPr>
      <w:widowControl w:val="0"/>
      <w:overflowPunct w:val="0"/>
      <w:spacing w:line="280" w:lineRule="atLeast"/>
      <w:jc w:val="both"/>
    </w:pPr>
    <w:rPr>
      <w:rFonts w:ascii="Arial" w:hAnsi="Arial"/>
      <w:szCs w:val="22"/>
    </w:rPr>
  </w:style>
  <w:style w:type="paragraph" w:styleId="a8">
    <w:name w:val="header"/>
    <w:basedOn w:val="a"/>
    <w:link w:val="a9"/>
    <w:uiPriority w:val="99"/>
    <w:unhideWhenUsed/>
    <w:rsid w:val="00BD5C9D"/>
    <w:pPr>
      <w:pBdr>
        <w:bottom w:val="single" w:sz="6" w:space="1" w:color="auto"/>
      </w:pBdr>
      <w:tabs>
        <w:tab w:val="center" w:pos="4153"/>
        <w:tab w:val="right" w:pos="8306"/>
      </w:tabs>
      <w:snapToGrid w:val="0"/>
      <w:spacing w:line="240" w:lineRule="auto"/>
      <w:jc w:val="center"/>
    </w:pPr>
    <w:rPr>
      <w:sz w:val="18"/>
      <w:szCs w:val="18"/>
    </w:rPr>
  </w:style>
  <w:style w:type="character" w:customStyle="1" w:styleId="a9">
    <w:name w:val="页眉 字符"/>
    <w:basedOn w:val="a0"/>
    <w:link w:val="a8"/>
    <w:uiPriority w:val="99"/>
    <w:rsid w:val="00BD5C9D"/>
    <w:rPr>
      <w:sz w:val="18"/>
      <w:szCs w:val="18"/>
    </w:rPr>
  </w:style>
  <w:style w:type="paragraph" w:styleId="aa">
    <w:name w:val="footer"/>
    <w:basedOn w:val="a"/>
    <w:link w:val="ab"/>
    <w:uiPriority w:val="99"/>
    <w:unhideWhenUsed/>
    <w:rsid w:val="00BD5C9D"/>
    <w:pPr>
      <w:tabs>
        <w:tab w:val="center" w:pos="4153"/>
        <w:tab w:val="right" w:pos="8306"/>
      </w:tabs>
      <w:snapToGrid w:val="0"/>
      <w:spacing w:line="240" w:lineRule="auto"/>
    </w:pPr>
    <w:rPr>
      <w:sz w:val="18"/>
      <w:szCs w:val="18"/>
    </w:rPr>
  </w:style>
  <w:style w:type="character" w:customStyle="1" w:styleId="ab">
    <w:name w:val="页脚 字符"/>
    <w:basedOn w:val="a0"/>
    <w:link w:val="aa"/>
    <w:uiPriority w:val="99"/>
    <w:rsid w:val="00BD5C9D"/>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9870427">
      <w:bodyDiv w:val="1"/>
      <w:marLeft w:val="0"/>
      <w:marRight w:val="0"/>
      <w:marTop w:val="0"/>
      <w:marBottom w:val="0"/>
      <w:divBdr>
        <w:top w:val="none" w:sz="0" w:space="0" w:color="auto"/>
        <w:left w:val="none" w:sz="0" w:space="0" w:color="auto"/>
        <w:bottom w:val="none" w:sz="0" w:space="0" w:color="auto"/>
        <w:right w:val="none" w:sz="0" w:space="0" w:color="auto"/>
      </w:divBdr>
      <w:divsChild>
        <w:div w:id="399060521">
          <w:marLeft w:val="0"/>
          <w:marRight w:val="0"/>
          <w:marTop w:val="0"/>
          <w:marBottom w:val="0"/>
          <w:divBdr>
            <w:top w:val="none" w:sz="0" w:space="0" w:color="auto"/>
            <w:left w:val="none" w:sz="0" w:space="0" w:color="auto"/>
            <w:bottom w:val="none" w:sz="0" w:space="0" w:color="auto"/>
            <w:right w:val="none" w:sz="0" w:space="0" w:color="auto"/>
          </w:divBdr>
        </w:div>
        <w:div w:id="1832256211">
          <w:marLeft w:val="0"/>
          <w:marRight w:val="0"/>
          <w:marTop w:val="0"/>
          <w:marBottom w:val="0"/>
          <w:divBdr>
            <w:top w:val="single" w:sz="6" w:space="6" w:color="989898"/>
            <w:left w:val="none" w:sz="0" w:space="0" w:color="auto"/>
            <w:bottom w:val="none" w:sz="0" w:space="0" w:color="auto"/>
            <w:right w:val="none" w:sz="0" w:space="0" w:color="auto"/>
          </w:divBdr>
        </w:div>
        <w:div w:id="1672028205">
          <w:marLeft w:val="0"/>
          <w:marRight w:val="0"/>
          <w:marTop w:val="0"/>
          <w:marBottom w:val="0"/>
          <w:divBdr>
            <w:top w:val="none" w:sz="0" w:space="0" w:color="auto"/>
            <w:left w:val="none" w:sz="0" w:space="0" w:color="auto"/>
            <w:bottom w:val="none" w:sz="0" w:space="0" w:color="auto"/>
            <w:right w:val="none" w:sz="0" w:space="0" w:color="auto"/>
          </w:divBdr>
        </w:div>
      </w:divsChild>
    </w:div>
    <w:div w:id="2133818652">
      <w:bodyDiv w:val="1"/>
      <w:marLeft w:val="0"/>
      <w:marRight w:val="0"/>
      <w:marTop w:val="0"/>
      <w:marBottom w:val="0"/>
      <w:divBdr>
        <w:top w:val="none" w:sz="0" w:space="0" w:color="auto"/>
        <w:left w:val="none" w:sz="0" w:space="0" w:color="auto"/>
        <w:bottom w:val="none" w:sz="0" w:space="0" w:color="auto"/>
        <w:right w:val="none" w:sz="0" w:space="0" w:color="auto"/>
      </w:divBdr>
      <w:divsChild>
        <w:div w:id="1778675284">
          <w:marLeft w:val="0"/>
          <w:marRight w:val="0"/>
          <w:marTop w:val="0"/>
          <w:marBottom w:val="0"/>
          <w:divBdr>
            <w:top w:val="none" w:sz="0" w:space="0" w:color="auto"/>
            <w:left w:val="none" w:sz="0" w:space="0" w:color="auto"/>
            <w:bottom w:val="none" w:sz="0" w:space="0" w:color="auto"/>
            <w:right w:val="none" w:sz="0" w:space="0" w:color="auto"/>
          </w:divBdr>
        </w:div>
        <w:div w:id="709572773">
          <w:marLeft w:val="0"/>
          <w:marRight w:val="0"/>
          <w:marTop w:val="0"/>
          <w:marBottom w:val="0"/>
          <w:divBdr>
            <w:top w:val="single" w:sz="6" w:space="6" w:color="989898"/>
            <w:left w:val="none" w:sz="0" w:space="0" w:color="auto"/>
            <w:bottom w:val="none" w:sz="0" w:space="0" w:color="auto"/>
            <w:right w:val="none" w:sz="0" w:space="0" w:color="auto"/>
          </w:divBdr>
        </w:div>
        <w:div w:id="51565864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nmpa.gov.cn/xxgk/fgwj/gzwj/gzwjylqx/20220909171207137.html" TargetMode="External"/><Relationship Id="rId3" Type="http://schemas.openxmlformats.org/officeDocument/2006/relationships/webSettings" Target="webSettings.xml"/><Relationship Id="rId7" Type="http://schemas.openxmlformats.org/officeDocument/2006/relationships/hyperlink" Target="http://centrum.hhp.com.cn/newlaw/20220915005_02.docx"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centrum.hhp.com.cn/newlaw/20220915005_01.docx"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808</Words>
  <Characters>4609</Characters>
  <Application>Microsoft Office Word</Application>
  <DocSecurity>0</DocSecurity>
  <Lines>38</Lines>
  <Paragraphs>10</Paragraphs>
  <ScaleCrop>false</ScaleCrop>
  <Company/>
  <LinksUpToDate>false</LinksUpToDate>
  <CharactersWithSpaces>5407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6</cp:revision>
  <dcterms:created xsi:type="dcterms:W3CDTF">2022-09-14T06:02:00Z</dcterms:created>
  <dcterms:modified xsi:type="dcterms:W3CDTF">2022-09-16T04:19:00Z</dcterms:modified>
</cp:coreProperties>
</file>