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F9E64" w14:textId="674C5BE4" w:rsidR="00B7444C" w:rsidRPr="00DB0B8A" w:rsidRDefault="00B7444C" w:rsidP="00DB0B8A">
      <w:pPr>
        <w:overflowPunct w:val="0"/>
        <w:spacing w:line="276" w:lineRule="auto"/>
        <w:jc w:val="center"/>
        <w:rPr>
          <w:rFonts w:ascii="Arial" w:hAnsi="Arial" w:cs="Times New Roman"/>
          <w:b/>
          <w:bCs/>
          <w:color w:val="E36C0A"/>
          <w:sz w:val="32"/>
          <w:szCs w:val="32"/>
        </w:rPr>
      </w:pPr>
      <w:r w:rsidRPr="00DB0B8A">
        <w:rPr>
          <w:rFonts w:ascii="Arial" w:hAnsi="Arial" w:cs="Times New Roman"/>
          <w:b/>
          <w:bCs/>
          <w:color w:val="E36C0A"/>
          <w:sz w:val="32"/>
          <w:szCs w:val="32"/>
        </w:rPr>
        <w:t>关于加强生态保护红线管理的通知（试行）</w:t>
      </w:r>
    </w:p>
    <w:p w14:paraId="5F113DE1" w14:textId="77777777" w:rsidR="00B7444C" w:rsidRPr="00DB0B8A" w:rsidRDefault="00B7444C" w:rsidP="00B7444C">
      <w:pPr>
        <w:spacing w:line="276" w:lineRule="auto"/>
        <w:rPr>
          <w:rFonts w:ascii="Arial" w:hAnsi="Arial" w:cs="Arial"/>
        </w:rPr>
      </w:pPr>
    </w:p>
    <w:p w14:paraId="600C2550" w14:textId="27A77A72" w:rsidR="00B7444C" w:rsidRPr="00247A5B" w:rsidRDefault="00B7444C" w:rsidP="00B7444C">
      <w:pPr>
        <w:spacing w:line="276" w:lineRule="auto"/>
        <w:rPr>
          <w:rFonts w:ascii="Arial" w:hAnsi="Arial" w:cs="Arial"/>
        </w:rPr>
      </w:pPr>
      <w:r w:rsidRPr="00247A5B">
        <w:rPr>
          <w:rFonts w:ascii="Arial" w:hAnsi="Arial" w:cs="Arial"/>
        </w:rPr>
        <w:t>各省（区、市）自然资源（海洋）、生态环境、林业和草原主管部门，新疆生产建设兵团自然资源局、生态环境局、林业和草原局：</w:t>
      </w:r>
    </w:p>
    <w:p w14:paraId="49AC28D4" w14:textId="57721D74" w:rsidR="00B7444C" w:rsidRPr="00F25C9C" w:rsidRDefault="00F25C9C" w:rsidP="00F25C9C">
      <w:pPr>
        <w:spacing w:line="276" w:lineRule="auto"/>
        <w:rPr>
          <w:rFonts w:ascii="Arial" w:hAnsi="Arial" w:cs="Arial" w:hint="eastAsia"/>
        </w:rPr>
      </w:pPr>
      <w:r w:rsidRPr="00247A5B">
        <w:rPr>
          <w:rFonts w:ascii="Arial" w:hAnsi="Arial" w:cs="Arial"/>
        </w:rPr>
        <w:t xml:space="preserve">　　</w:t>
      </w:r>
      <w:r w:rsidR="00B7444C" w:rsidRPr="00247A5B">
        <w:rPr>
          <w:rFonts w:ascii="Arial" w:hAnsi="Arial" w:cs="Arial"/>
        </w:rPr>
        <w:t>为贯彻落实《中共中央</w:t>
      </w:r>
      <w:r w:rsidR="00B7444C" w:rsidRPr="00247A5B">
        <w:rPr>
          <w:rFonts w:ascii="Arial" w:hAnsi="Arial" w:cs="Arial"/>
        </w:rPr>
        <w:t xml:space="preserve"> </w:t>
      </w:r>
      <w:r w:rsidR="00B7444C" w:rsidRPr="00247A5B">
        <w:rPr>
          <w:rFonts w:ascii="Arial" w:hAnsi="Arial" w:cs="Arial"/>
        </w:rPr>
        <w:t>国务院关于建立国土空间规划体系并监督实施的若干意见》《中共中央办公厅</w:t>
      </w:r>
      <w:r w:rsidR="00B7444C" w:rsidRPr="00247A5B">
        <w:rPr>
          <w:rFonts w:ascii="Arial" w:hAnsi="Arial" w:cs="Arial"/>
        </w:rPr>
        <w:t xml:space="preserve"> </w:t>
      </w:r>
      <w:r w:rsidR="00B7444C" w:rsidRPr="00247A5B">
        <w:rPr>
          <w:rFonts w:ascii="Arial" w:hAnsi="Arial" w:cs="Arial"/>
        </w:rPr>
        <w:t>国务院办公厅关于建立以国家公园为主体的自然保护地体系的指导意见》《中共中央办公厅</w:t>
      </w:r>
      <w:r w:rsidR="00B7444C" w:rsidRPr="00247A5B">
        <w:rPr>
          <w:rFonts w:ascii="Arial" w:hAnsi="Arial" w:cs="Arial"/>
        </w:rPr>
        <w:t xml:space="preserve"> </w:t>
      </w:r>
      <w:r w:rsidR="00B7444C" w:rsidRPr="00247A5B">
        <w:rPr>
          <w:rFonts w:ascii="Arial" w:hAnsi="Arial" w:cs="Arial"/>
        </w:rPr>
        <w:t>国务院办公厅关于在国土空间规划中统筹划定落实三条控制线的指导意见》，加强生态保护红线管理，严守自然生态安全边界，依据相关法律法规，就有关事项通知如下：</w:t>
      </w:r>
    </w:p>
    <w:p w14:paraId="210C60FC" w14:textId="77777777" w:rsidR="00B7444C" w:rsidRPr="00247A5B" w:rsidRDefault="00B7444C" w:rsidP="00B7444C">
      <w:pPr>
        <w:spacing w:line="276" w:lineRule="auto"/>
        <w:rPr>
          <w:rFonts w:ascii="Arial" w:hAnsi="Arial" w:cs="Arial"/>
        </w:rPr>
      </w:pPr>
      <w:r w:rsidRPr="00247A5B">
        <w:rPr>
          <w:rFonts w:ascii="Arial" w:hAnsi="Arial" w:cs="Arial"/>
        </w:rPr>
        <w:t xml:space="preserve">　　一、加强人为活动管控</w:t>
      </w:r>
    </w:p>
    <w:p w14:paraId="72F17298" w14:textId="77777777" w:rsidR="00B7444C" w:rsidRPr="00247A5B" w:rsidRDefault="00B7444C" w:rsidP="00B7444C">
      <w:pPr>
        <w:spacing w:line="276" w:lineRule="auto"/>
        <w:rPr>
          <w:rFonts w:ascii="Arial" w:hAnsi="Arial" w:cs="Arial"/>
        </w:rPr>
      </w:pPr>
      <w:r w:rsidRPr="00247A5B">
        <w:rPr>
          <w:rFonts w:ascii="Arial" w:hAnsi="Arial" w:cs="Arial"/>
        </w:rPr>
        <w:t xml:space="preserve">　　（一）规范管控对生态功能不造成破坏的有限人为活动。生态保护红线是国土空间规划中的重要管控边界，生态保护红线内自然保护地核心保护区外，禁止开发性、生产性建设活动，在符合法律法规的前提下，仅允许以下对生态功能不造成破坏的有限人为活动。生态保护红线内自然保护区、风景名胜区、饮用水水源保护区等区域，依照法律法规执行。</w:t>
      </w:r>
    </w:p>
    <w:p w14:paraId="33C62343" w14:textId="77777777" w:rsidR="00B7444C" w:rsidRPr="00247A5B" w:rsidRDefault="00B7444C" w:rsidP="00B7444C">
      <w:pPr>
        <w:spacing w:line="276" w:lineRule="auto"/>
        <w:rPr>
          <w:rFonts w:ascii="Arial" w:hAnsi="Arial" w:cs="Arial"/>
        </w:rPr>
      </w:pPr>
      <w:r w:rsidRPr="00247A5B">
        <w:rPr>
          <w:rFonts w:ascii="Arial" w:hAnsi="Arial" w:cs="Arial"/>
        </w:rPr>
        <w:t xml:space="preserve">　　</w:t>
      </w:r>
      <w:r w:rsidRPr="00247A5B">
        <w:rPr>
          <w:rFonts w:ascii="Arial" w:hAnsi="Arial" w:cs="Arial"/>
        </w:rPr>
        <w:t>1.</w:t>
      </w:r>
      <w:r w:rsidRPr="00247A5B">
        <w:rPr>
          <w:rFonts w:ascii="Arial" w:hAnsi="Arial" w:cs="Arial"/>
        </w:rPr>
        <w:t>管护巡护、保护执法、科学研究、调查监测、测绘导航、防灾减灾救灾、军事国防、疫情防控等活动及相关的必要设施修筑。</w:t>
      </w:r>
    </w:p>
    <w:p w14:paraId="5343867F" w14:textId="77777777" w:rsidR="00B7444C" w:rsidRPr="00247A5B" w:rsidRDefault="00B7444C" w:rsidP="00B7444C">
      <w:pPr>
        <w:spacing w:line="276" w:lineRule="auto"/>
        <w:rPr>
          <w:rFonts w:ascii="Arial" w:hAnsi="Arial" w:cs="Arial"/>
        </w:rPr>
      </w:pPr>
      <w:r w:rsidRPr="00247A5B">
        <w:rPr>
          <w:rFonts w:ascii="Arial" w:hAnsi="Arial" w:cs="Arial"/>
        </w:rPr>
        <w:t xml:space="preserve">　　</w:t>
      </w:r>
      <w:r w:rsidRPr="00247A5B">
        <w:rPr>
          <w:rFonts w:ascii="Arial" w:hAnsi="Arial" w:cs="Arial"/>
        </w:rPr>
        <w:t>2.</w:t>
      </w:r>
      <w:r w:rsidRPr="00247A5B">
        <w:rPr>
          <w:rFonts w:ascii="Arial" w:hAnsi="Arial" w:cs="Arial"/>
        </w:rPr>
        <w:t>原住居民和其他合法权益主体，允许在不扩大现有建设用地、用海用岛、耕地、水产养殖规模和放牧强度（符合草畜平衡管理规定）的前提下，开展种植、放牧、捕捞、养殖（不包括投礁型海洋牧场、围海养殖）等活动，修筑生产生活设施。</w:t>
      </w:r>
    </w:p>
    <w:p w14:paraId="608BA913" w14:textId="77777777" w:rsidR="00B7444C" w:rsidRPr="00247A5B" w:rsidRDefault="00B7444C" w:rsidP="00B7444C">
      <w:pPr>
        <w:spacing w:line="276" w:lineRule="auto"/>
        <w:rPr>
          <w:rFonts w:ascii="Arial" w:hAnsi="Arial" w:cs="Arial"/>
        </w:rPr>
      </w:pPr>
      <w:r w:rsidRPr="00247A5B">
        <w:rPr>
          <w:rFonts w:ascii="Arial" w:hAnsi="Arial" w:cs="Arial"/>
        </w:rPr>
        <w:t xml:space="preserve">　　</w:t>
      </w:r>
      <w:r w:rsidRPr="00247A5B">
        <w:rPr>
          <w:rFonts w:ascii="Arial" w:hAnsi="Arial" w:cs="Arial"/>
        </w:rPr>
        <w:t>3.</w:t>
      </w:r>
      <w:r w:rsidRPr="00247A5B">
        <w:rPr>
          <w:rFonts w:ascii="Arial" w:hAnsi="Arial" w:cs="Arial"/>
        </w:rPr>
        <w:t>经依法批准的考古调查发掘、古生物化石调查发掘、标本采集和文物保护活动。</w:t>
      </w:r>
    </w:p>
    <w:p w14:paraId="68E2302A" w14:textId="77777777" w:rsidR="00B7444C" w:rsidRPr="00247A5B" w:rsidRDefault="00B7444C" w:rsidP="00B7444C">
      <w:pPr>
        <w:spacing w:line="276" w:lineRule="auto"/>
        <w:rPr>
          <w:rFonts w:ascii="Arial" w:hAnsi="Arial" w:cs="Arial"/>
        </w:rPr>
      </w:pPr>
      <w:r w:rsidRPr="00247A5B">
        <w:rPr>
          <w:rFonts w:ascii="Arial" w:hAnsi="Arial" w:cs="Arial"/>
        </w:rPr>
        <w:t xml:space="preserve">　　</w:t>
      </w:r>
      <w:r w:rsidRPr="00247A5B">
        <w:rPr>
          <w:rFonts w:ascii="Arial" w:hAnsi="Arial" w:cs="Arial"/>
        </w:rPr>
        <w:t>4.</w:t>
      </w:r>
      <w:r w:rsidRPr="00247A5B">
        <w:rPr>
          <w:rFonts w:ascii="Arial" w:hAnsi="Arial" w:cs="Arial"/>
        </w:rPr>
        <w:t>按规定对人工商品林进行抚育采伐，或以提升森林质量、优化栖息地、建设生物防火隔离带等为目的的树种更新，依法开展的竹林采伐经营。</w:t>
      </w:r>
    </w:p>
    <w:p w14:paraId="485EBB89" w14:textId="77777777" w:rsidR="00B7444C" w:rsidRPr="00247A5B" w:rsidRDefault="00B7444C" w:rsidP="00B7444C">
      <w:pPr>
        <w:spacing w:line="276" w:lineRule="auto"/>
        <w:rPr>
          <w:rFonts w:ascii="Arial" w:hAnsi="Arial" w:cs="Arial"/>
        </w:rPr>
      </w:pPr>
      <w:r w:rsidRPr="00247A5B">
        <w:rPr>
          <w:rFonts w:ascii="Arial" w:hAnsi="Arial" w:cs="Arial"/>
        </w:rPr>
        <w:t xml:space="preserve">　　</w:t>
      </w:r>
      <w:r w:rsidRPr="00247A5B">
        <w:rPr>
          <w:rFonts w:ascii="Arial" w:hAnsi="Arial" w:cs="Arial"/>
        </w:rPr>
        <w:t>5.</w:t>
      </w:r>
      <w:r w:rsidRPr="00247A5B">
        <w:rPr>
          <w:rFonts w:ascii="Arial" w:hAnsi="Arial" w:cs="Arial"/>
        </w:rPr>
        <w:t>不破坏生态功能的适度参观旅游、科普宣教及符合相关规划的配套性服务设施和相关的必要公共设施建设及维护。</w:t>
      </w:r>
    </w:p>
    <w:p w14:paraId="754D4F68" w14:textId="77777777" w:rsidR="00B7444C" w:rsidRPr="00247A5B" w:rsidRDefault="00B7444C" w:rsidP="00B7444C">
      <w:pPr>
        <w:spacing w:line="276" w:lineRule="auto"/>
        <w:rPr>
          <w:rFonts w:ascii="Arial" w:hAnsi="Arial" w:cs="Arial"/>
        </w:rPr>
      </w:pPr>
      <w:r w:rsidRPr="00247A5B">
        <w:rPr>
          <w:rFonts w:ascii="Arial" w:hAnsi="Arial" w:cs="Arial"/>
        </w:rPr>
        <w:t xml:space="preserve">　　</w:t>
      </w:r>
      <w:r w:rsidRPr="00247A5B">
        <w:rPr>
          <w:rFonts w:ascii="Arial" w:hAnsi="Arial" w:cs="Arial"/>
        </w:rPr>
        <w:t>6.</w:t>
      </w:r>
      <w:r w:rsidRPr="00247A5B">
        <w:rPr>
          <w:rFonts w:ascii="Arial" w:hAnsi="Arial" w:cs="Arial"/>
        </w:rPr>
        <w:t>必须且无法避让、符合县级以上国土空间规划的线性基础设施、通讯和防洪、供水设施建设和船舶航行、航道疏浚清淤等活动；已有的合法水利、交通运输等设施运行维护改造。</w:t>
      </w:r>
    </w:p>
    <w:p w14:paraId="31EC446A" w14:textId="77777777" w:rsidR="00B7444C" w:rsidRPr="00247A5B" w:rsidRDefault="00B7444C" w:rsidP="00B7444C">
      <w:pPr>
        <w:spacing w:line="276" w:lineRule="auto"/>
        <w:rPr>
          <w:rFonts w:ascii="Arial" w:hAnsi="Arial" w:cs="Arial"/>
        </w:rPr>
      </w:pPr>
      <w:r w:rsidRPr="00247A5B">
        <w:rPr>
          <w:rFonts w:ascii="Arial" w:hAnsi="Arial" w:cs="Arial"/>
        </w:rPr>
        <w:t xml:space="preserve">　　</w:t>
      </w:r>
      <w:r w:rsidRPr="00247A5B">
        <w:rPr>
          <w:rFonts w:ascii="Arial" w:hAnsi="Arial" w:cs="Arial"/>
        </w:rPr>
        <w:t>7.</w:t>
      </w:r>
      <w:r w:rsidRPr="00247A5B">
        <w:rPr>
          <w:rFonts w:ascii="Arial" w:hAnsi="Arial" w:cs="Arial"/>
        </w:rPr>
        <w:t>地质调查与矿产资源勘查开采。包括：基础地质调查和战略性矿产资源远景调查等公益性工作；铀矿勘查开采活动，可办理矿业权登记；已依法设立的油气探矿权继续勘查活动，可办理探矿权延续、变更（不含扩大勘查区块范围）、保留、注销，当发现可供开采油气资源并探明储量时，可将开采拟占用的地表或海域范围依照国家相关规定调出生态保护红线；已依法设立的油气采矿权不扩大用地用海范围，继续开采，可办理采矿权延续、变更（不含扩大矿区范围）、注销；已依法设立的矿泉水和地热采矿权，在不超出已经核定的生产规模、不新增生产设施的前提下继续开采，可办理采矿权延续、变更（不含扩大矿区范围）、注销；已依法设立和新立铬、铜、镍、锂、钴、锆、钾盐、（中）重稀土矿等战略性矿产探矿权开展勘查活动，可办理探矿权登记，因国家战略需要开展开采活动的，可办理采矿权登记。上述勘查开采活动，应落实减缓</w:t>
      </w:r>
      <w:r w:rsidRPr="00247A5B">
        <w:rPr>
          <w:rFonts w:ascii="Arial" w:hAnsi="Arial" w:cs="Arial"/>
        </w:rPr>
        <w:lastRenderedPageBreak/>
        <w:t>生态环境影响措施，严格执行绿色勘查、开采及矿山环境生态修复相关要求。</w:t>
      </w:r>
    </w:p>
    <w:p w14:paraId="50096542" w14:textId="77777777" w:rsidR="00B7444C" w:rsidRPr="00247A5B" w:rsidRDefault="00B7444C" w:rsidP="00B7444C">
      <w:pPr>
        <w:spacing w:line="276" w:lineRule="auto"/>
        <w:rPr>
          <w:rFonts w:ascii="Arial" w:hAnsi="Arial" w:cs="Arial"/>
        </w:rPr>
      </w:pPr>
      <w:r w:rsidRPr="00247A5B">
        <w:rPr>
          <w:rFonts w:ascii="Arial" w:hAnsi="Arial" w:cs="Arial"/>
        </w:rPr>
        <w:t xml:space="preserve">　　</w:t>
      </w:r>
      <w:r w:rsidRPr="00247A5B">
        <w:rPr>
          <w:rFonts w:ascii="Arial" w:hAnsi="Arial" w:cs="Arial"/>
        </w:rPr>
        <w:t>8.</w:t>
      </w:r>
      <w:r w:rsidRPr="00247A5B">
        <w:rPr>
          <w:rFonts w:ascii="Arial" w:hAnsi="Arial" w:cs="Arial"/>
        </w:rPr>
        <w:t>依据县级以上国土空间规划和生态保护修复专项规划开展的生态修复。</w:t>
      </w:r>
    </w:p>
    <w:p w14:paraId="137E6B26" w14:textId="77777777" w:rsidR="00B7444C" w:rsidRPr="00247A5B" w:rsidRDefault="00B7444C" w:rsidP="00B7444C">
      <w:pPr>
        <w:spacing w:line="276" w:lineRule="auto"/>
        <w:rPr>
          <w:rFonts w:ascii="Arial" w:hAnsi="Arial" w:cs="Arial"/>
        </w:rPr>
      </w:pPr>
      <w:r w:rsidRPr="00247A5B">
        <w:rPr>
          <w:rFonts w:ascii="Arial" w:hAnsi="Arial" w:cs="Arial"/>
        </w:rPr>
        <w:t xml:space="preserve">　　</w:t>
      </w:r>
      <w:r w:rsidRPr="00247A5B">
        <w:rPr>
          <w:rFonts w:ascii="Arial" w:hAnsi="Arial" w:cs="Arial"/>
        </w:rPr>
        <w:t>9.</w:t>
      </w:r>
      <w:r w:rsidRPr="00247A5B">
        <w:rPr>
          <w:rFonts w:ascii="Arial" w:hAnsi="Arial" w:cs="Arial"/>
        </w:rPr>
        <w:t>根据我国相关法律法规和与邻国签署的国界管理制度协定（条约）开展的边界边境通视道清理以及界务工程的修建、维护和拆除工作。</w:t>
      </w:r>
    </w:p>
    <w:p w14:paraId="73E13FEF" w14:textId="77777777" w:rsidR="00B7444C" w:rsidRPr="00247A5B" w:rsidRDefault="00B7444C" w:rsidP="00B7444C">
      <w:pPr>
        <w:spacing w:line="276" w:lineRule="auto"/>
        <w:rPr>
          <w:rFonts w:ascii="Arial" w:hAnsi="Arial" w:cs="Arial"/>
        </w:rPr>
      </w:pPr>
      <w:r w:rsidRPr="00247A5B">
        <w:rPr>
          <w:rFonts w:ascii="Arial" w:hAnsi="Arial" w:cs="Arial"/>
        </w:rPr>
        <w:t xml:space="preserve">　　</w:t>
      </w:r>
      <w:r w:rsidRPr="00247A5B">
        <w:rPr>
          <w:rFonts w:ascii="Arial" w:hAnsi="Arial" w:cs="Arial"/>
        </w:rPr>
        <w:t>10.</w:t>
      </w:r>
      <w:r w:rsidRPr="00247A5B">
        <w:rPr>
          <w:rFonts w:ascii="Arial" w:hAnsi="Arial" w:cs="Arial"/>
        </w:rPr>
        <w:t>法律法规规定允许的其他人为活动。</w:t>
      </w:r>
    </w:p>
    <w:p w14:paraId="235E9755" w14:textId="77777777" w:rsidR="00B7444C" w:rsidRPr="00247A5B" w:rsidRDefault="00B7444C" w:rsidP="00B7444C">
      <w:pPr>
        <w:spacing w:line="276" w:lineRule="auto"/>
        <w:rPr>
          <w:rFonts w:ascii="Arial" w:hAnsi="Arial" w:cs="Arial"/>
        </w:rPr>
      </w:pPr>
      <w:r w:rsidRPr="00247A5B">
        <w:rPr>
          <w:rFonts w:ascii="Arial" w:hAnsi="Arial" w:cs="Arial"/>
        </w:rPr>
        <w:t xml:space="preserve">　　开展上述活动时禁止新增填海造地和新增围海。上述活动涉及利用无居民海岛的，原则上仅允许按照相关规定对海岛自然岸线、表面积、岛体、植被改变轻微的低影响利用方式。</w:t>
      </w:r>
    </w:p>
    <w:p w14:paraId="7EE053BE" w14:textId="77777777" w:rsidR="00B7444C" w:rsidRPr="00247A5B" w:rsidRDefault="00B7444C" w:rsidP="00B7444C">
      <w:pPr>
        <w:spacing w:line="276" w:lineRule="auto"/>
        <w:rPr>
          <w:rFonts w:ascii="Arial" w:hAnsi="Arial" w:cs="Arial"/>
        </w:rPr>
      </w:pPr>
      <w:r w:rsidRPr="00247A5B">
        <w:rPr>
          <w:rFonts w:ascii="Arial" w:hAnsi="Arial" w:cs="Arial"/>
        </w:rPr>
        <w:t xml:space="preserve">　　（二）加强有限人为活动管理。上述生态保护红线管控范围内有限人为活动，涉及新增建设用地、用海用岛审批的，在报批农用地转用、土地征收、海域使用权、无居民海岛开发利用时，附省级人民政府出具符合生态保护红线内允许有限人为活动的认定意见；不涉及新增建设用地、用海用岛审批的，按有关规定进行管理，无明确规定的由省级人民政府制定具体监管办法。上述活动涉及自然保护地的，应征求林业和草原主管部门或自然保护地管理机构意见。</w:t>
      </w:r>
    </w:p>
    <w:p w14:paraId="7EF9A53E" w14:textId="77777777" w:rsidR="00B7444C" w:rsidRPr="00247A5B" w:rsidRDefault="00B7444C" w:rsidP="00B7444C">
      <w:pPr>
        <w:spacing w:line="276" w:lineRule="auto"/>
        <w:rPr>
          <w:rFonts w:ascii="Arial" w:hAnsi="Arial" w:cs="Arial"/>
        </w:rPr>
      </w:pPr>
      <w:r w:rsidRPr="00247A5B">
        <w:rPr>
          <w:rFonts w:ascii="Arial" w:hAnsi="Arial" w:cs="Arial"/>
        </w:rPr>
        <w:t xml:space="preserve">　　（三）有序处理历史遗留问题。生态保护红线经国务院批准后，对需逐步有序退出的矿业权等，由省级人民政府按照尊重历史、实事求是的原则，结合实际制定退出计划，明确时序安排、补偿安置、生态修复等要求，确保生态安全和社会稳定。鼓励有条件的地方通过租赁、置换、赎买等方式，对人工商品林实行统一管护，并将重要生态区位的人工商品林按规定逐步转为公益林。零星分布的已有水电、风电、光伏、海洋能设施，按照相关法律法规规定进行管理，严禁扩大现有规模与范围，项目到期后由建设单位负责做好生态修复。</w:t>
      </w:r>
    </w:p>
    <w:p w14:paraId="4A453A3A" w14:textId="77777777" w:rsidR="00B7444C" w:rsidRPr="00247A5B" w:rsidRDefault="00B7444C" w:rsidP="00B7444C">
      <w:pPr>
        <w:spacing w:line="276" w:lineRule="auto"/>
        <w:rPr>
          <w:rFonts w:ascii="Arial" w:hAnsi="Arial" w:cs="Arial"/>
        </w:rPr>
      </w:pPr>
      <w:r w:rsidRPr="00247A5B">
        <w:rPr>
          <w:rFonts w:ascii="Arial" w:hAnsi="Arial" w:cs="Arial"/>
        </w:rPr>
        <w:t xml:space="preserve">　　二、规范占用生态保护红线用地用海用岛审批</w:t>
      </w:r>
    </w:p>
    <w:p w14:paraId="5CD7A2E7" w14:textId="77777777" w:rsidR="00B7444C" w:rsidRPr="00247A5B" w:rsidRDefault="00B7444C" w:rsidP="00B7444C">
      <w:pPr>
        <w:spacing w:line="276" w:lineRule="auto"/>
        <w:rPr>
          <w:rFonts w:ascii="Arial" w:hAnsi="Arial" w:cs="Arial"/>
        </w:rPr>
      </w:pPr>
      <w:r w:rsidRPr="00247A5B">
        <w:rPr>
          <w:rFonts w:ascii="Arial" w:hAnsi="Arial" w:cs="Arial"/>
        </w:rPr>
        <w:t xml:space="preserve">　　上述允许的有限人为活动之外，确需占用生态保护红线的国家重大项目，按照以下规定办理用地用海用岛审批。</w:t>
      </w:r>
    </w:p>
    <w:p w14:paraId="57915DF8" w14:textId="77777777" w:rsidR="00B7444C" w:rsidRPr="00247A5B" w:rsidRDefault="00B7444C" w:rsidP="00B7444C">
      <w:pPr>
        <w:spacing w:line="276" w:lineRule="auto"/>
        <w:rPr>
          <w:rFonts w:ascii="Arial" w:hAnsi="Arial" w:cs="Arial"/>
        </w:rPr>
      </w:pPr>
      <w:r w:rsidRPr="00247A5B">
        <w:rPr>
          <w:rFonts w:ascii="Arial" w:hAnsi="Arial" w:cs="Arial"/>
        </w:rPr>
        <w:t xml:space="preserve">　　（一）项目范围。党中央、国务院发布文件或批准规划中明确具体名称的项目和国务院批准的项目；中央军委及其有关部门批准的军事国防项目；国家级规划（指国务院及其有关部门正式颁布）明确的交通、水利项目；国家级规划明确的电网项目，国家级规划明确的且符合国家产业政策的能源矿产勘查开采、油气管线、水电、核电项目；为贯彻落实党中央、国务院重大决策部署，国务院投资主管部门或国务院投资主管部门会同有关部门确认的交通、能源、水利等基础设施项目；按照国家重大项目用地保障工作机制要求</w:t>
      </w:r>
      <w:r w:rsidRPr="00247A5B">
        <w:rPr>
          <w:rFonts w:ascii="Arial" w:hAnsi="Arial" w:cs="Arial"/>
        </w:rPr>
        <w:t>,</w:t>
      </w:r>
      <w:r w:rsidRPr="00247A5B">
        <w:rPr>
          <w:rFonts w:ascii="Arial" w:hAnsi="Arial" w:cs="Arial"/>
        </w:rPr>
        <w:t>国家发展改革委会同有关部门确认的需中央加大建设用地保障力度，确实难以避让的国家重大项目。</w:t>
      </w:r>
    </w:p>
    <w:p w14:paraId="7ECEDC11" w14:textId="77777777" w:rsidR="00B7444C" w:rsidRPr="00247A5B" w:rsidRDefault="00B7444C" w:rsidP="00B7444C">
      <w:pPr>
        <w:spacing w:line="276" w:lineRule="auto"/>
        <w:rPr>
          <w:rFonts w:ascii="Arial" w:hAnsi="Arial" w:cs="Arial"/>
        </w:rPr>
      </w:pPr>
      <w:r w:rsidRPr="00247A5B">
        <w:rPr>
          <w:rFonts w:ascii="Arial" w:hAnsi="Arial" w:cs="Arial"/>
        </w:rPr>
        <w:t xml:space="preserve">　　（二）办理要求。上述项目（不含新增填海造地和新增用岛）按规定由自然资源部进行用地用海预审后，报国务院批准。报批农用地转用、土地征收、海域使用权时，附省级人民政府基于国土空间规划</w:t>
      </w:r>
      <w:r w:rsidRPr="00247A5B">
        <w:rPr>
          <w:rFonts w:ascii="Arial" w:hAnsi="Arial" w:cs="Arial"/>
        </w:rPr>
        <w:t>“</w:t>
      </w:r>
      <w:r w:rsidRPr="00247A5B">
        <w:rPr>
          <w:rFonts w:ascii="Arial" w:hAnsi="Arial" w:cs="Arial"/>
        </w:rPr>
        <w:t>一张图</w:t>
      </w:r>
      <w:r w:rsidRPr="00247A5B">
        <w:rPr>
          <w:rFonts w:ascii="Arial" w:hAnsi="Arial" w:cs="Arial"/>
        </w:rPr>
        <w:t>”</w:t>
      </w:r>
      <w:r w:rsidRPr="00247A5B">
        <w:rPr>
          <w:rFonts w:ascii="Arial" w:hAnsi="Arial" w:cs="Arial"/>
        </w:rPr>
        <w:t>和用途管制要求出具的不可避让论证意见，说明占用生态保护红线的必要性、节约集约和减缓生态环境影响措施。</w:t>
      </w:r>
    </w:p>
    <w:p w14:paraId="60DD645F" w14:textId="77777777" w:rsidR="00B7444C" w:rsidRPr="00247A5B" w:rsidRDefault="00B7444C" w:rsidP="00B7444C">
      <w:pPr>
        <w:spacing w:line="276" w:lineRule="auto"/>
        <w:rPr>
          <w:rFonts w:ascii="Arial" w:hAnsi="Arial" w:cs="Arial"/>
        </w:rPr>
      </w:pPr>
      <w:r w:rsidRPr="00247A5B">
        <w:rPr>
          <w:rFonts w:ascii="Arial" w:hAnsi="Arial" w:cs="Arial"/>
        </w:rPr>
        <w:t xml:space="preserve">　　国家重大项目新增填海造地、新增用岛确需在生态保护红线内实施的，省级人民政府应同步编制生态保护红线调整方案，调整方案随海域使用权、无居民海岛开发利用申请一并报国务院批准。</w:t>
      </w:r>
    </w:p>
    <w:p w14:paraId="28607571" w14:textId="77777777" w:rsidR="00B7444C" w:rsidRPr="00247A5B" w:rsidRDefault="00B7444C" w:rsidP="00B7444C">
      <w:pPr>
        <w:spacing w:line="276" w:lineRule="auto"/>
        <w:rPr>
          <w:rFonts w:ascii="Arial" w:hAnsi="Arial" w:cs="Arial"/>
        </w:rPr>
      </w:pPr>
      <w:r w:rsidRPr="00247A5B">
        <w:rPr>
          <w:rFonts w:ascii="Arial" w:hAnsi="Arial" w:cs="Arial"/>
        </w:rPr>
        <w:lastRenderedPageBreak/>
        <w:t xml:space="preserve">　　占用生态保护红线的国家重大项目，应严格落实生态环境分区管控要求，依法开展环境影响评价。</w:t>
      </w:r>
    </w:p>
    <w:p w14:paraId="17863D3B" w14:textId="77777777" w:rsidR="00B7444C" w:rsidRPr="00247A5B" w:rsidRDefault="00B7444C" w:rsidP="00B7444C">
      <w:pPr>
        <w:spacing w:line="276" w:lineRule="auto"/>
        <w:rPr>
          <w:rFonts w:ascii="Arial" w:hAnsi="Arial" w:cs="Arial"/>
        </w:rPr>
      </w:pPr>
      <w:r w:rsidRPr="00247A5B">
        <w:rPr>
          <w:rFonts w:ascii="Arial" w:hAnsi="Arial" w:cs="Arial"/>
        </w:rPr>
        <w:t xml:space="preserve">　　生态保护红线内允许的有限人为活动和国家重大项目占用生态保护红线涉及临时用地的，按照自然资源部关于规范临时用地管理的有关要求，参照临时占用永久基本农田规定办理，严格落实恢复责任。</w:t>
      </w:r>
    </w:p>
    <w:p w14:paraId="13E7B75C" w14:textId="77777777" w:rsidR="00B7444C" w:rsidRPr="00247A5B" w:rsidRDefault="00B7444C" w:rsidP="00B7444C">
      <w:pPr>
        <w:spacing w:line="276" w:lineRule="auto"/>
        <w:rPr>
          <w:rFonts w:ascii="Arial" w:hAnsi="Arial" w:cs="Arial"/>
        </w:rPr>
      </w:pPr>
      <w:r w:rsidRPr="00247A5B">
        <w:rPr>
          <w:rFonts w:ascii="Arial" w:hAnsi="Arial" w:cs="Arial"/>
        </w:rPr>
        <w:t xml:space="preserve">　　三、严格生态保护红线监管</w:t>
      </w:r>
    </w:p>
    <w:p w14:paraId="3B71FD5E" w14:textId="77777777" w:rsidR="00B7444C" w:rsidRPr="00247A5B" w:rsidRDefault="00B7444C" w:rsidP="00B7444C">
      <w:pPr>
        <w:spacing w:line="276" w:lineRule="auto"/>
        <w:rPr>
          <w:rFonts w:ascii="Arial" w:hAnsi="Arial" w:cs="Arial"/>
        </w:rPr>
      </w:pPr>
      <w:r w:rsidRPr="00247A5B">
        <w:rPr>
          <w:rFonts w:ascii="Arial" w:hAnsi="Arial" w:cs="Arial"/>
        </w:rPr>
        <w:t xml:space="preserve">　　（一）强化数据共享。生态保护红线划定方案经国务院批准后，应按照</w:t>
      </w:r>
      <w:r w:rsidRPr="00247A5B">
        <w:rPr>
          <w:rFonts w:ascii="Arial" w:hAnsi="Arial" w:cs="Arial"/>
        </w:rPr>
        <w:t>“</w:t>
      </w:r>
      <w:r w:rsidRPr="00247A5B">
        <w:rPr>
          <w:rFonts w:ascii="Arial" w:hAnsi="Arial" w:cs="Arial"/>
        </w:rPr>
        <w:t>统一底图、统一标准、统一规划、统一平台</w:t>
      </w:r>
      <w:r w:rsidRPr="00247A5B">
        <w:rPr>
          <w:rFonts w:ascii="Arial" w:hAnsi="Arial" w:cs="Arial"/>
        </w:rPr>
        <w:t>”</w:t>
      </w:r>
      <w:r w:rsidRPr="00247A5B">
        <w:rPr>
          <w:rFonts w:ascii="Arial" w:hAnsi="Arial" w:cs="Arial"/>
        </w:rPr>
        <w:t>的要求，逐级汇交纳入全国国土空间规划</w:t>
      </w:r>
      <w:r w:rsidRPr="00247A5B">
        <w:rPr>
          <w:rFonts w:ascii="Arial" w:hAnsi="Arial" w:cs="Arial"/>
        </w:rPr>
        <w:t>“</w:t>
      </w:r>
      <w:r w:rsidRPr="00247A5B">
        <w:rPr>
          <w:rFonts w:ascii="Arial" w:hAnsi="Arial" w:cs="Arial"/>
        </w:rPr>
        <w:t>一张图</w:t>
      </w:r>
      <w:r w:rsidRPr="00247A5B">
        <w:rPr>
          <w:rFonts w:ascii="Arial" w:hAnsi="Arial" w:cs="Arial"/>
        </w:rPr>
        <w:t>”</w:t>
      </w:r>
      <w:r w:rsidRPr="00247A5B">
        <w:rPr>
          <w:rFonts w:ascii="Arial" w:hAnsi="Arial" w:cs="Arial"/>
        </w:rPr>
        <w:t>，并与国家生态保护红线生态环境监督平台实现信息共享，作为国土空间规划实施监督、生态环境监督的重要内容和国土空间用途管制的重要依据。加强各部门数据和成果实时共享，提升空间治理现代化水平。</w:t>
      </w:r>
    </w:p>
    <w:p w14:paraId="1F11DACA" w14:textId="77777777" w:rsidR="00B7444C" w:rsidRPr="00247A5B" w:rsidRDefault="00B7444C" w:rsidP="00B7444C">
      <w:pPr>
        <w:spacing w:line="276" w:lineRule="auto"/>
        <w:rPr>
          <w:rFonts w:ascii="Arial" w:hAnsi="Arial" w:cs="Arial"/>
        </w:rPr>
      </w:pPr>
      <w:r w:rsidRPr="00247A5B">
        <w:rPr>
          <w:rFonts w:ascii="Arial" w:hAnsi="Arial" w:cs="Arial"/>
        </w:rPr>
        <w:t xml:space="preserve">　　（二）加大监管力度。各级自然资源主管部门会同相关部门，强化对生态保护红线实施情况的监督检查。各级自然资源主管部门要严格国土空间用途管制实施监督；各级生态环境主管部门要做好生态环境监督工作；各级林业和草原主管部门重点抓好自然保护地的监督管理。</w:t>
      </w:r>
    </w:p>
    <w:p w14:paraId="0B03307B" w14:textId="77777777" w:rsidR="00B7444C" w:rsidRPr="00247A5B" w:rsidRDefault="00B7444C" w:rsidP="00B7444C">
      <w:pPr>
        <w:spacing w:line="276" w:lineRule="auto"/>
        <w:rPr>
          <w:rFonts w:ascii="Arial" w:hAnsi="Arial" w:cs="Arial"/>
        </w:rPr>
      </w:pPr>
      <w:r w:rsidRPr="00247A5B">
        <w:rPr>
          <w:rFonts w:ascii="Arial" w:hAnsi="Arial" w:cs="Arial"/>
        </w:rPr>
        <w:t xml:space="preserve">　　各级自然资源主管部门对生态保护红线批准后发生的违法违规用地用海用岛行为，按照《土地管理法》《海域使用管理法》《海岛保护法》《土地管理法实施条例》等法律法规规定从重处罚。处理情况在用地用海用岛报批报件材料中专门说明。破坏生态环境、破坏森林草原湿地或违反自然保护区风景名胜区管理规定，由生态环境、林草主管部门按职责依照《环境保护法》《环境影响评价法》《水污染防治法》《海洋环境保护法》《森林法》《草原法》《湿地保护法》《自然保护区条例》《风景名胜区条例》《森林法实施条例》等法律法规从重处罚。对自然保护地内进行非法开矿、修路、筑坝、建设造成生态破坏的违法行为移交生态环境保护综合行政执法部门。造成生态环境损害的，由所在地省级、市级政府及其指定的部门机构依法开展生态环境损害赔偿工作。</w:t>
      </w:r>
    </w:p>
    <w:p w14:paraId="1467A1E6" w14:textId="77777777" w:rsidR="00B7444C" w:rsidRPr="00247A5B" w:rsidRDefault="00B7444C" w:rsidP="00B7444C">
      <w:pPr>
        <w:spacing w:line="276" w:lineRule="auto"/>
        <w:rPr>
          <w:rFonts w:ascii="Arial" w:hAnsi="Arial" w:cs="Arial"/>
        </w:rPr>
      </w:pPr>
      <w:r w:rsidRPr="00247A5B">
        <w:rPr>
          <w:rFonts w:ascii="Arial" w:hAnsi="Arial" w:cs="Arial"/>
        </w:rPr>
        <w:t xml:space="preserve">　　（三）严格调整程序。生态保护红线一经划定，未经批准，严禁擅自调整。根据资源环境承载能力监测、生态保护重要性评价和国土空间规划实施</w:t>
      </w:r>
      <w:r w:rsidRPr="00247A5B">
        <w:rPr>
          <w:rFonts w:ascii="Arial" w:hAnsi="Arial" w:cs="Arial"/>
        </w:rPr>
        <w:t>“</w:t>
      </w:r>
      <w:r w:rsidRPr="00247A5B">
        <w:rPr>
          <w:rFonts w:ascii="Arial" w:hAnsi="Arial" w:cs="Arial"/>
        </w:rPr>
        <w:t>五年一评估</w:t>
      </w:r>
      <w:r w:rsidRPr="00247A5B">
        <w:rPr>
          <w:rFonts w:ascii="Arial" w:hAnsi="Arial" w:cs="Arial"/>
        </w:rPr>
        <w:t>”</w:t>
      </w:r>
      <w:r w:rsidRPr="00247A5B">
        <w:rPr>
          <w:rFonts w:ascii="Arial" w:hAnsi="Arial" w:cs="Arial"/>
        </w:rPr>
        <w:t>情况，可由省级人民政府编制生态保护红线局部调整方案，纳入国土空间规划修改方案报国务院批准，并抄送生态环境部。自然保护地边界发生调整的，省级自然资源主管部门依据批准文件，对生态保护红线作相应调整，更新国土空间规划</w:t>
      </w:r>
      <w:r w:rsidRPr="00247A5B">
        <w:rPr>
          <w:rFonts w:ascii="Arial" w:hAnsi="Arial" w:cs="Arial"/>
        </w:rPr>
        <w:t>“</w:t>
      </w:r>
      <w:r w:rsidRPr="00247A5B">
        <w:rPr>
          <w:rFonts w:ascii="Arial" w:hAnsi="Arial" w:cs="Arial"/>
        </w:rPr>
        <w:t>一张图</w:t>
      </w:r>
      <w:r w:rsidRPr="00247A5B">
        <w:rPr>
          <w:rFonts w:ascii="Arial" w:hAnsi="Arial" w:cs="Arial"/>
        </w:rPr>
        <w:t>”</w:t>
      </w:r>
      <w:r w:rsidRPr="00247A5B">
        <w:rPr>
          <w:rFonts w:ascii="Arial" w:hAnsi="Arial" w:cs="Arial"/>
        </w:rPr>
        <w:t>。已依法设立的油气探矿权拟转采矿权的，按有关规定由省级自然资源主管部门会同相关部门明确开采拟占用地表或海域范围，并对生态保护红线作相应调整，更新国土空间规划</w:t>
      </w:r>
      <w:r w:rsidRPr="00247A5B">
        <w:rPr>
          <w:rFonts w:ascii="Arial" w:hAnsi="Arial" w:cs="Arial"/>
        </w:rPr>
        <w:t>“</w:t>
      </w:r>
      <w:r w:rsidRPr="00247A5B">
        <w:rPr>
          <w:rFonts w:ascii="Arial" w:hAnsi="Arial" w:cs="Arial"/>
        </w:rPr>
        <w:t>一张图</w:t>
      </w:r>
      <w:r w:rsidRPr="00247A5B">
        <w:rPr>
          <w:rFonts w:ascii="Arial" w:hAnsi="Arial" w:cs="Arial"/>
        </w:rPr>
        <w:t>”</w:t>
      </w:r>
      <w:r w:rsidRPr="00247A5B">
        <w:rPr>
          <w:rFonts w:ascii="Arial" w:hAnsi="Arial" w:cs="Arial"/>
        </w:rPr>
        <w:t>。更新后的国土空间规划</w:t>
      </w:r>
      <w:r w:rsidRPr="00247A5B">
        <w:rPr>
          <w:rFonts w:ascii="Arial" w:hAnsi="Arial" w:cs="Arial"/>
        </w:rPr>
        <w:t>“</w:t>
      </w:r>
      <w:r w:rsidRPr="00247A5B">
        <w:rPr>
          <w:rFonts w:ascii="Arial" w:hAnsi="Arial" w:cs="Arial"/>
        </w:rPr>
        <w:t>一张图</w:t>
      </w:r>
      <w:r w:rsidRPr="00247A5B">
        <w:rPr>
          <w:rFonts w:ascii="Arial" w:hAnsi="Arial" w:cs="Arial"/>
        </w:rPr>
        <w:t>”</w:t>
      </w:r>
      <w:r w:rsidRPr="00247A5B">
        <w:rPr>
          <w:rFonts w:ascii="Arial" w:hAnsi="Arial" w:cs="Arial"/>
        </w:rPr>
        <w:t>，与省级生态环境部门信息共享。</w:t>
      </w:r>
    </w:p>
    <w:p w14:paraId="66BAA568" w14:textId="6AA6607C" w:rsidR="00B7444C" w:rsidRPr="00247A5B" w:rsidRDefault="00F25C9C" w:rsidP="00F25C9C">
      <w:pPr>
        <w:spacing w:line="276" w:lineRule="auto"/>
        <w:rPr>
          <w:rFonts w:ascii="Arial" w:hAnsi="Arial" w:cs="Arial"/>
        </w:rPr>
      </w:pPr>
      <w:r w:rsidRPr="00247A5B">
        <w:rPr>
          <w:rFonts w:ascii="Arial" w:hAnsi="Arial" w:cs="Arial"/>
        </w:rPr>
        <w:t xml:space="preserve">　　</w:t>
      </w:r>
      <w:r w:rsidR="00B7444C" w:rsidRPr="00247A5B">
        <w:rPr>
          <w:rFonts w:ascii="Arial" w:hAnsi="Arial" w:cs="Arial"/>
        </w:rPr>
        <w:t>本通知适用于国务院批准的生态保护红线，自印发之日起试行；期间法律法规有新规定的，从其规定。实施过程中如有重大问题，由各地自然资源主管部门会同生态环境、林业和草原主管部门及时总结提出建议反馈两部一局。</w:t>
      </w:r>
    </w:p>
    <w:p w14:paraId="450E4A57" w14:textId="77777777" w:rsidR="00B7444C" w:rsidRPr="00247A5B" w:rsidRDefault="00B7444C" w:rsidP="00F25C9C">
      <w:pPr>
        <w:spacing w:line="276" w:lineRule="auto"/>
        <w:rPr>
          <w:rFonts w:ascii="Arial" w:hAnsi="Arial" w:cs="Arial" w:hint="eastAsia"/>
        </w:rPr>
      </w:pPr>
    </w:p>
    <w:p w14:paraId="36287C09" w14:textId="77777777" w:rsidR="00F25C9C" w:rsidRDefault="00B7444C" w:rsidP="00B7444C">
      <w:pPr>
        <w:spacing w:line="276" w:lineRule="auto"/>
        <w:jc w:val="right"/>
        <w:rPr>
          <w:rFonts w:ascii="Arial" w:hAnsi="Arial" w:cs="Arial"/>
        </w:rPr>
      </w:pPr>
      <w:r w:rsidRPr="00247A5B">
        <w:rPr>
          <w:rFonts w:ascii="Arial" w:hAnsi="Arial" w:cs="Arial"/>
        </w:rPr>
        <w:t>自然资源部</w:t>
      </w:r>
    </w:p>
    <w:p w14:paraId="443095B6" w14:textId="77777777" w:rsidR="00F25C9C" w:rsidRDefault="00B7444C" w:rsidP="00B7444C">
      <w:pPr>
        <w:spacing w:line="276" w:lineRule="auto"/>
        <w:jc w:val="right"/>
        <w:rPr>
          <w:rFonts w:ascii="Arial" w:hAnsi="Arial" w:cs="Arial"/>
        </w:rPr>
      </w:pPr>
      <w:r w:rsidRPr="00247A5B">
        <w:rPr>
          <w:rFonts w:ascii="Arial" w:hAnsi="Arial" w:cs="Arial"/>
        </w:rPr>
        <w:t>生态环境部</w:t>
      </w:r>
    </w:p>
    <w:p w14:paraId="2168711B" w14:textId="7164D447" w:rsidR="00B7444C" w:rsidRPr="00247A5B" w:rsidRDefault="00B7444C" w:rsidP="00B7444C">
      <w:pPr>
        <w:spacing w:line="276" w:lineRule="auto"/>
        <w:jc w:val="right"/>
        <w:rPr>
          <w:rFonts w:ascii="Arial" w:hAnsi="Arial" w:cs="Arial"/>
        </w:rPr>
      </w:pPr>
      <w:r w:rsidRPr="00247A5B">
        <w:rPr>
          <w:rFonts w:ascii="Arial" w:hAnsi="Arial" w:cs="Arial"/>
        </w:rPr>
        <w:t>国家林业和草原局</w:t>
      </w:r>
    </w:p>
    <w:p w14:paraId="553E26BB" w14:textId="1E83AA5B" w:rsidR="00F45EEB" w:rsidRPr="00247A5B" w:rsidRDefault="00B7444C" w:rsidP="00B7444C">
      <w:pPr>
        <w:spacing w:line="276" w:lineRule="auto"/>
        <w:jc w:val="right"/>
        <w:rPr>
          <w:rFonts w:ascii="Arial" w:hAnsi="Arial" w:cs="Arial"/>
        </w:rPr>
      </w:pPr>
      <w:r w:rsidRPr="00247A5B">
        <w:rPr>
          <w:rFonts w:ascii="Arial" w:hAnsi="Arial" w:cs="Arial"/>
        </w:rPr>
        <w:lastRenderedPageBreak/>
        <w:t>2022</w:t>
      </w:r>
      <w:r w:rsidRPr="00247A5B">
        <w:rPr>
          <w:rFonts w:ascii="Arial" w:hAnsi="Arial" w:cs="Arial"/>
        </w:rPr>
        <w:t>年</w:t>
      </w:r>
      <w:r w:rsidRPr="00247A5B">
        <w:rPr>
          <w:rFonts w:ascii="Arial" w:hAnsi="Arial" w:cs="Arial"/>
        </w:rPr>
        <w:t>8</w:t>
      </w:r>
      <w:r w:rsidRPr="00247A5B">
        <w:rPr>
          <w:rFonts w:ascii="Arial" w:hAnsi="Arial" w:cs="Arial"/>
        </w:rPr>
        <w:t>月</w:t>
      </w:r>
      <w:r w:rsidRPr="00247A5B">
        <w:rPr>
          <w:rFonts w:ascii="Arial" w:hAnsi="Arial" w:cs="Arial"/>
        </w:rPr>
        <w:t>16</w:t>
      </w:r>
      <w:r w:rsidRPr="00247A5B">
        <w:rPr>
          <w:rFonts w:ascii="Arial" w:hAnsi="Arial" w:cs="Arial"/>
        </w:rPr>
        <w:t>日</w:t>
      </w:r>
    </w:p>
    <w:p w14:paraId="5FD36821" w14:textId="4C4E9E8B" w:rsidR="00B7444C" w:rsidRPr="00247A5B" w:rsidRDefault="00B7444C" w:rsidP="00B7444C">
      <w:pPr>
        <w:spacing w:line="276" w:lineRule="auto"/>
        <w:jc w:val="right"/>
        <w:rPr>
          <w:rFonts w:ascii="Arial" w:hAnsi="Arial" w:cs="Arial"/>
        </w:rPr>
      </w:pPr>
    </w:p>
    <w:p w14:paraId="7F250B31" w14:textId="024D988C" w:rsidR="00B7444C" w:rsidRPr="00247A5B" w:rsidRDefault="00B7444C" w:rsidP="00B7444C">
      <w:pPr>
        <w:spacing w:line="276" w:lineRule="auto"/>
        <w:jc w:val="left"/>
        <w:rPr>
          <w:rFonts w:ascii="Arial" w:hAnsi="Arial" w:cs="Arial"/>
        </w:rPr>
      </w:pPr>
      <w:r w:rsidRPr="00247A5B">
        <w:rPr>
          <w:rFonts w:ascii="Arial" w:hAnsi="Arial" w:cs="Arial"/>
        </w:rPr>
        <w:t>信息来源：</w:t>
      </w:r>
    </w:p>
    <w:p w14:paraId="75E1DFE3" w14:textId="5DAC598F" w:rsidR="00B7444C" w:rsidRPr="00247A5B" w:rsidRDefault="00000000" w:rsidP="00B7444C">
      <w:pPr>
        <w:spacing w:line="276" w:lineRule="auto"/>
        <w:jc w:val="left"/>
        <w:rPr>
          <w:rFonts w:ascii="Arial" w:hAnsi="Arial" w:cs="Arial"/>
        </w:rPr>
      </w:pPr>
      <w:hyperlink r:id="rId6" w:history="1">
        <w:r w:rsidR="00B7444C" w:rsidRPr="00247A5B">
          <w:rPr>
            <w:rStyle w:val="a5"/>
            <w:rFonts w:ascii="Arial" w:hAnsi="Arial" w:cs="Arial"/>
          </w:rPr>
          <w:t>http://gi.mnr.gov.cn/202208/t20220819_2756940.html</w:t>
        </w:r>
      </w:hyperlink>
    </w:p>
    <w:p w14:paraId="737C40A0" w14:textId="77777777" w:rsidR="00B7444C" w:rsidRPr="00247A5B" w:rsidRDefault="00B7444C" w:rsidP="00B7444C">
      <w:pPr>
        <w:spacing w:line="276" w:lineRule="auto"/>
        <w:jc w:val="right"/>
        <w:rPr>
          <w:rFonts w:ascii="Arial" w:hAnsi="Arial" w:cs="Arial"/>
        </w:rPr>
      </w:pPr>
    </w:p>
    <w:sectPr w:rsidR="00B7444C" w:rsidRPr="00247A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34EEC" w14:textId="77777777" w:rsidR="0041549E" w:rsidRDefault="0041549E" w:rsidP="00247A5B">
      <w:r>
        <w:separator/>
      </w:r>
    </w:p>
  </w:endnote>
  <w:endnote w:type="continuationSeparator" w:id="0">
    <w:p w14:paraId="3FFBC661" w14:textId="77777777" w:rsidR="0041549E" w:rsidRDefault="0041549E" w:rsidP="00247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0516A" w14:textId="77777777" w:rsidR="0041549E" w:rsidRDefault="0041549E" w:rsidP="00247A5B">
      <w:r>
        <w:separator/>
      </w:r>
    </w:p>
  </w:footnote>
  <w:footnote w:type="continuationSeparator" w:id="0">
    <w:p w14:paraId="402DACBF" w14:textId="77777777" w:rsidR="0041549E" w:rsidRDefault="0041549E" w:rsidP="00247A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7444C"/>
    <w:rsid w:val="00247A5B"/>
    <w:rsid w:val="0041549E"/>
    <w:rsid w:val="00B41EDF"/>
    <w:rsid w:val="00B7444C"/>
    <w:rsid w:val="00DB0B8A"/>
    <w:rsid w:val="00F25C9C"/>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E8B7B"/>
  <w15:chartTrackingRefBased/>
  <w15:docId w15:val="{F35DBF69-2E87-4839-A018-812C70C6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7444C"/>
    <w:pPr>
      <w:ind w:leftChars="2500" w:left="100"/>
    </w:pPr>
  </w:style>
  <w:style w:type="character" w:customStyle="1" w:styleId="a4">
    <w:name w:val="日期 字符"/>
    <w:basedOn w:val="a0"/>
    <w:link w:val="a3"/>
    <w:uiPriority w:val="99"/>
    <w:semiHidden/>
    <w:rsid w:val="00B7444C"/>
  </w:style>
  <w:style w:type="character" w:styleId="a5">
    <w:name w:val="Hyperlink"/>
    <w:basedOn w:val="a0"/>
    <w:uiPriority w:val="99"/>
    <w:unhideWhenUsed/>
    <w:rsid w:val="00B7444C"/>
    <w:rPr>
      <w:color w:val="0563C1" w:themeColor="hyperlink"/>
      <w:u w:val="single"/>
    </w:rPr>
  </w:style>
  <w:style w:type="character" w:styleId="a6">
    <w:name w:val="Unresolved Mention"/>
    <w:basedOn w:val="a0"/>
    <w:uiPriority w:val="99"/>
    <w:semiHidden/>
    <w:unhideWhenUsed/>
    <w:rsid w:val="00B7444C"/>
    <w:rPr>
      <w:color w:val="605E5C"/>
      <w:shd w:val="clear" w:color="auto" w:fill="E1DFDD"/>
    </w:rPr>
  </w:style>
  <w:style w:type="paragraph" w:styleId="a7">
    <w:name w:val="header"/>
    <w:basedOn w:val="a"/>
    <w:link w:val="a8"/>
    <w:uiPriority w:val="99"/>
    <w:unhideWhenUsed/>
    <w:rsid w:val="00247A5B"/>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247A5B"/>
    <w:rPr>
      <w:sz w:val="18"/>
      <w:szCs w:val="18"/>
    </w:rPr>
  </w:style>
  <w:style w:type="paragraph" w:styleId="a9">
    <w:name w:val="footer"/>
    <w:basedOn w:val="a"/>
    <w:link w:val="aa"/>
    <w:uiPriority w:val="99"/>
    <w:unhideWhenUsed/>
    <w:rsid w:val="00247A5B"/>
    <w:pPr>
      <w:tabs>
        <w:tab w:val="center" w:pos="4153"/>
        <w:tab w:val="right" w:pos="8306"/>
      </w:tabs>
      <w:snapToGrid w:val="0"/>
      <w:jc w:val="left"/>
    </w:pPr>
    <w:rPr>
      <w:sz w:val="18"/>
      <w:szCs w:val="18"/>
    </w:rPr>
  </w:style>
  <w:style w:type="character" w:customStyle="1" w:styleId="aa">
    <w:name w:val="页脚 字符"/>
    <w:basedOn w:val="a0"/>
    <w:link w:val="a9"/>
    <w:uiPriority w:val="99"/>
    <w:rsid w:val="00247A5B"/>
    <w:rPr>
      <w:sz w:val="18"/>
      <w:szCs w:val="18"/>
    </w:rPr>
  </w:style>
  <w:style w:type="paragraph" w:customStyle="1" w:styleId="AD">
    <w:name w:val="AD"/>
    <w:basedOn w:val="a"/>
    <w:rsid w:val="00DB0B8A"/>
    <w:pPr>
      <w:overflowPunct w:val="0"/>
      <w:spacing w:line="280" w:lineRule="atLeast"/>
    </w:pPr>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2005">
      <w:bodyDiv w:val="1"/>
      <w:marLeft w:val="0"/>
      <w:marRight w:val="0"/>
      <w:marTop w:val="0"/>
      <w:marBottom w:val="0"/>
      <w:divBdr>
        <w:top w:val="none" w:sz="0" w:space="0" w:color="auto"/>
        <w:left w:val="none" w:sz="0" w:space="0" w:color="auto"/>
        <w:bottom w:val="none" w:sz="0" w:space="0" w:color="auto"/>
        <w:right w:val="none" w:sz="0" w:space="0" w:color="auto"/>
      </w:divBdr>
      <w:divsChild>
        <w:div w:id="138495610">
          <w:marLeft w:val="0"/>
          <w:marRight w:val="0"/>
          <w:marTop w:val="0"/>
          <w:marBottom w:val="0"/>
          <w:divBdr>
            <w:top w:val="none" w:sz="0" w:space="0" w:color="auto"/>
            <w:left w:val="none" w:sz="0" w:space="0" w:color="auto"/>
            <w:bottom w:val="none" w:sz="0" w:space="0" w:color="auto"/>
            <w:right w:val="none" w:sz="0" w:space="0" w:color="auto"/>
          </w:divBdr>
          <w:divsChild>
            <w:div w:id="1190414185">
              <w:marLeft w:val="0"/>
              <w:marRight w:val="0"/>
              <w:marTop w:val="0"/>
              <w:marBottom w:val="0"/>
              <w:divBdr>
                <w:top w:val="none" w:sz="0" w:space="0" w:color="auto"/>
                <w:left w:val="none" w:sz="0" w:space="0" w:color="auto"/>
                <w:bottom w:val="none" w:sz="0" w:space="0" w:color="auto"/>
                <w:right w:val="none" w:sz="0" w:space="0" w:color="auto"/>
              </w:divBdr>
            </w:div>
            <w:div w:id="391000585">
              <w:marLeft w:val="0"/>
              <w:marRight w:val="0"/>
              <w:marTop w:val="0"/>
              <w:marBottom w:val="0"/>
              <w:divBdr>
                <w:top w:val="none" w:sz="0" w:space="0" w:color="auto"/>
                <w:left w:val="none" w:sz="0" w:space="0" w:color="auto"/>
                <w:bottom w:val="none" w:sz="0" w:space="0" w:color="auto"/>
                <w:right w:val="none" w:sz="0" w:space="0" w:color="auto"/>
              </w:divBdr>
            </w:div>
            <w:div w:id="533615866">
              <w:marLeft w:val="0"/>
              <w:marRight w:val="0"/>
              <w:marTop w:val="0"/>
              <w:marBottom w:val="0"/>
              <w:divBdr>
                <w:top w:val="none" w:sz="0" w:space="0" w:color="auto"/>
                <w:left w:val="none" w:sz="0" w:space="0" w:color="auto"/>
                <w:bottom w:val="none" w:sz="0" w:space="0" w:color="auto"/>
                <w:right w:val="none" w:sz="0" w:space="0" w:color="auto"/>
              </w:divBdr>
            </w:div>
            <w:div w:id="544411821">
              <w:marLeft w:val="0"/>
              <w:marRight w:val="0"/>
              <w:marTop w:val="0"/>
              <w:marBottom w:val="0"/>
              <w:divBdr>
                <w:top w:val="none" w:sz="0" w:space="0" w:color="auto"/>
                <w:left w:val="none" w:sz="0" w:space="0" w:color="auto"/>
                <w:bottom w:val="none" w:sz="0" w:space="0" w:color="auto"/>
                <w:right w:val="none" w:sz="0" w:space="0" w:color="auto"/>
              </w:divBdr>
            </w:div>
            <w:div w:id="1364986588">
              <w:marLeft w:val="0"/>
              <w:marRight w:val="0"/>
              <w:marTop w:val="0"/>
              <w:marBottom w:val="0"/>
              <w:divBdr>
                <w:top w:val="none" w:sz="0" w:space="0" w:color="auto"/>
                <w:left w:val="none" w:sz="0" w:space="0" w:color="auto"/>
                <w:bottom w:val="none" w:sz="0" w:space="0" w:color="auto"/>
                <w:right w:val="none" w:sz="0" w:space="0" w:color="auto"/>
              </w:divBdr>
            </w:div>
            <w:div w:id="549003621">
              <w:marLeft w:val="0"/>
              <w:marRight w:val="0"/>
              <w:marTop w:val="0"/>
              <w:marBottom w:val="0"/>
              <w:divBdr>
                <w:top w:val="none" w:sz="0" w:space="0" w:color="auto"/>
                <w:left w:val="none" w:sz="0" w:space="0" w:color="auto"/>
                <w:bottom w:val="none" w:sz="0" w:space="0" w:color="auto"/>
                <w:right w:val="none" w:sz="0" w:space="0" w:color="auto"/>
              </w:divBdr>
            </w:div>
            <w:div w:id="996375340">
              <w:marLeft w:val="0"/>
              <w:marRight w:val="0"/>
              <w:marTop w:val="0"/>
              <w:marBottom w:val="0"/>
              <w:divBdr>
                <w:top w:val="none" w:sz="0" w:space="0" w:color="auto"/>
                <w:left w:val="none" w:sz="0" w:space="0" w:color="auto"/>
                <w:bottom w:val="none" w:sz="0" w:space="0" w:color="auto"/>
                <w:right w:val="none" w:sz="0" w:space="0" w:color="auto"/>
              </w:divBdr>
            </w:div>
            <w:div w:id="1790732807">
              <w:marLeft w:val="0"/>
              <w:marRight w:val="0"/>
              <w:marTop w:val="0"/>
              <w:marBottom w:val="0"/>
              <w:divBdr>
                <w:top w:val="none" w:sz="0" w:space="0" w:color="auto"/>
                <w:left w:val="none" w:sz="0" w:space="0" w:color="auto"/>
                <w:bottom w:val="none" w:sz="0" w:space="0" w:color="auto"/>
                <w:right w:val="none" w:sz="0" w:space="0" w:color="auto"/>
              </w:divBdr>
            </w:div>
            <w:div w:id="1164976673">
              <w:marLeft w:val="0"/>
              <w:marRight w:val="0"/>
              <w:marTop w:val="0"/>
              <w:marBottom w:val="0"/>
              <w:divBdr>
                <w:top w:val="none" w:sz="0" w:space="0" w:color="auto"/>
                <w:left w:val="none" w:sz="0" w:space="0" w:color="auto"/>
                <w:bottom w:val="none" w:sz="0" w:space="0" w:color="auto"/>
                <w:right w:val="none" w:sz="0" w:space="0" w:color="auto"/>
              </w:divBdr>
            </w:div>
            <w:div w:id="1600675734">
              <w:marLeft w:val="0"/>
              <w:marRight w:val="0"/>
              <w:marTop w:val="0"/>
              <w:marBottom w:val="0"/>
              <w:divBdr>
                <w:top w:val="none" w:sz="0" w:space="0" w:color="auto"/>
                <w:left w:val="none" w:sz="0" w:space="0" w:color="auto"/>
                <w:bottom w:val="none" w:sz="0" w:space="0" w:color="auto"/>
                <w:right w:val="none" w:sz="0" w:space="0" w:color="auto"/>
              </w:divBdr>
            </w:div>
            <w:div w:id="485243287">
              <w:marLeft w:val="0"/>
              <w:marRight w:val="0"/>
              <w:marTop w:val="0"/>
              <w:marBottom w:val="0"/>
              <w:divBdr>
                <w:top w:val="none" w:sz="0" w:space="0" w:color="auto"/>
                <w:left w:val="none" w:sz="0" w:space="0" w:color="auto"/>
                <w:bottom w:val="none" w:sz="0" w:space="0" w:color="auto"/>
                <w:right w:val="none" w:sz="0" w:space="0" w:color="auto"/>
              </w:divBdr>
            </w:div>
            <w:div w:id="1547378040">
              <w:marLeft w:val="0"/>
              <w:marRight w:val="0"/>
              <w:marTop w:val="0"/>
              <w:marBottom w:val="0"/>
              <w:divBdr>
                <w:top w:val="none" w:sz="0" w:space="0" w:color="auto"/>
                <w:left w:val="none" w:sz="0" w:space="0" w:color="auto"/>
                <w:bottom w:val="none" w:sz="0" w:space="0" w:color="auto"/>
                <w:right w:val="none" w:sz="0" w:space="0" w:color="auto"/>
              </w:divBdr>
            </w:div>
            <w:div w:id="432670169">
              <w:marLeft w:val="0"/>
              <w:marRight w:val="0"/>
              <w:marTop w:val="0"/>
              <w:marBottom w:val="0"/>
              <w:divBdr>
                <w:top w:val="none" w:sz="0" w:space="0" w:color="auto"/>
                <w:left w:val="none" w:sz="0" w:space="0" w:color="auto"/>
                <w:bottom w:val="none" w:sz="0" w:space="0" w:color="auto"/>
                <w:right w:val="none" w:sz="0" w:space="0" w:color="auto"/>
              </w:divBdr>
            </w:div>
            <w:div w:id="1421683488">
              <w:marLeft w:val="0"/>
              <w:marRight w:val="0"/>
              <w:marTop w:val="0"/>
              <w:marBottom w:val="0"/>
              <w:divBdr>
                <w:top w:val="none" w:sz="0" w:space="0" w:color="auto"/>
                <w:left w:val="none" w:sz="0" w:space="0" w:color="auto"/>
                <w:bottom w:val="none" w:sz="0" w:space="0" w:color="auto"/>
                <w:right w:val="none" w:sz="0" w:space="0" w:color="auto"/>
              </w:divBdr>
            </w:div>
            <w:div w:id="2050256782">
              <w:marLeft w:val="0"/>
              <w:marRight w:val="0"/>
              <w:marTop w:val="0"/>
              <w:marBottom w:val="0"/>
              <w:divBdr>
                <w:top w:val="none" w:sz="0" w:space="0" w:color="auto"/>
                <w:left w:val="none" w:sz="0" w:space="0" w:color="auto"/>
                <w:bottom w:val="none" w:sz="0" w:space="0" w:color="auto"/>
                <w:right w:val="none" w:sz="0" w:space="0" w:color="auto"/>
              </w:divBdr>
            </w:div>
            <w:div w:id="889540966">
              <w:marLeft w:val="0"/>
              <w:marRight w:val="0"/>
              <w:marTop w:val="0"/>
              <w:marBottom w:val="0"/>
              <w:divBdr>
                <w:top w:val="none" w:sz="0" w:space="0" w:color="auto"/>
                <w:left w:val="none" w:sz="0" w:space="0" w:color="auto"/>
                <w:bottom w:val="none" w:sz="0" w:space="0" w:color="auto"/>
                <w:right w:val="none" w:sz="0" w:space="0" w:color="auto"/>
              </w:divBdr>
            </w:div>
            <w:div w:id="1464926594">
              <w:marLeft w:val="0"/>
              <w:marRight w:val="0"/>
              <w:marTop w:val="0"/>
              <w:marBottom w:val="0"/>
              <w:divBdr>
                <w:top w:val="none" w:sz="0" w:space="0" w:color="auto"/>
                <w:left w:val="none" w:sz="0" w:space="0" w:color="auto"/>
                <w:bottom w:val="none" w:sz="0" w:space="0" w:color="auto"/>
                <w:right w:val="none" w:sz="0" w:space="0" w:color="auto"/>
              </w:divBdr>
            </w:div>
            <w:div w:id="1840194039">
              <w:marLeft w:val="0"/>
              <w:marRight w:val="0"/>
              <w:marTop w:val="0"/>
              <w:marBottom w:val="0"/>
              <w:divBdr>
                <w:top w:val="none" w:sz="0" w:space="0" w:color="auto"/>
                <w:left w:val="none" w:sz="0" w:space="0" w:color="auto"/>
                <w:bottom w:val="none" w:sz="0" w:space="0" w:color="auto"/>
                <w:right w:val="none" w:sz="0" w:space="0" w:color="auto"/>
              </w:divBdr>
            </w:div>
            <w:div w:id="471480150">
              <w:marLeft w:val="0"/>
              <w:marRight w:val="0"/>
              <w:marTop w:val="0"/>
              <w:marBottom w:val="0"/>
              <w:divBdr>
                <w:top w:val="none" w:sz="0" w:space="0" w:color="auto"/>
                <w:left w:val="none" w:sz="0" w:space="0" w:color="auto"/>
                <w:bottom w:val="none" w:sz="0" w:space="0" w:color="auto"/>
                <w:right w:val="none" w:sz="0" w:space="0" w:color="auto"/>
              </w:divBdr>
            </w:div>
            <w:div w:id="2095055572">
              <w:marLeft w:val="0"/>
              <w:marRight w:val="0"/>
              <w:marTop w:val="0"/>
              <w:marBottom w:val="0"/>
              <w:divBdr>
                <w:top w:val="none" w:sz="0" w:space="0" w:color="auto"/>
                <w:left w:val="none" w:sz="0" w:space="0" w:color="auto"/>
                <w:bottom w:val="none" w:sz="0" w:space="0" w:color="auto"/>
                <w:right w:val="none" w:sz="0" w:space="0" w:color="auto"/>
              </w:divBdr>
            </w:div>
            <w:div w:id="294262363">
              <w:marLeft w:val="0"/>
              <w:marRight w:val="0"/>
              <w:marTop w:val="0"/>
              <w:marBottom w:val="0"/>
              <w:divBdr>
                <w:top w:val="none" w:sz="0" w:space="0" w:color="auto"/>
                <w:left w:val="none" w:sz="0" w:space="0" w:color="auto"/>
                <w:bottom w:val="none" w:sz="0" w:space="0" w:color="auto"/>
                <w:right w:val="none" w:sz="0" w:space="0" w:color="auto"/>
              </w:divBdr>
            </w:div>
            <w:div w:id="1016927421">
              <w:marLeft w:val="0"/>
              <w:marRight w:val="0"/>
              <w:marTop w:val="0"/>
              <w:marBottom w:val="0"/>
              <w:divBdr>
                <w:top w:val="none" w:sz="0" w:space="0" w:color="auto"/>
                <w:left w:val="none" w:sz="0" w:space="0" w:color="auto"/>
                <w:bottom w:val="none" w:sz="0" w:space="0" w:color="auto"/>
                <w:right w:val="none" w:sz="0" w:space="0" w:color="auto"/>
              </w:divBdr>
            </w:div>
            <w:div w:id="573666960">
              <w:marLeft w:val="0"/>
              <w:marRight w:val="0"/>
              <w:marTop w:val="0"/>
              <w:marBottom w:val="0"/>
              <w:divBdr>
                <w:top w:val="none" w:sz="0" w:space="0" w:color="auto"/>
                <w:left w:val="none" w:sz="0" w:space="0" w:color="auto"/>
                <w:bottom w:val="none" w:sz="0" w:space="0" w:color="auto"/>
                <w:right w:val="none" w:sz="0" w:space="0" w:color="auto"/>
              </w:divBdr>
            </w:div>
            <w:div w:id="379087516">
              <w:marLeft w:val="0"/>
              <w:marRight w:val="0"/>
              <w:marTop w:val="0"/>
              <w:marBottom w:val="0"/>
              <w:divBdr>
                <w:top w:val="none" w:sz="0" w:space="0" w:color="auto"/>
                <w:left w:val="none" w:sz="0" w:space="0" w:color="auto"/>
                <w:bottom w:val="none" w:sz="0" w:space="0" w:color="auto"/>
                <w:right w:val="none" w:sz="0" w:space="0" w:color="auto"/>
              </w:divBdr>
            </w:div>
            <w:div w:id="280772491">
              <w:marLeft w:val="0"/>
              <w:marRight w:val="0"/>
              <w:marTop w:val="0"/>
              <w:marBottom w:val="0"/>
              <w:divBdr>
                <w:top w:val="none" w:sz="0" w:space="0" w:color="auto"/>
                <w:left w:val="none" w:sz="0" w:space="0" w:color="auto"/>
                <w:bottom w:val="none" w:sz="0" w:space="0" w:color="auto"/>
                <w:right w:val="none" w:sz="0" w:space="0" w:color="auto"/>
              </w:divBdr>
            </w:div>
            <w:div w:id="1391492345">
              <w:marLeft w:val="0"/>
              <w:marRight w:val="0"/>
              <w:marTop w:val="0"/>
              <w:marBottom w:val="0"/>
              <w:divBdr>
                <w:top w:val="none" w:sz="0" w:space="0" w:color="auto"/>
                <w:left w:val="none" w:sz="0" w:space="0" w:color="auto"/>
                <w:bottom w:val="none" w:sz="0" w:space="0" w:color="auto"/>
                <w:right w:val="none" w:sz="0" w:space="0" w:color="auto"/>
              </w:divBdr>
            </w:div>
            <w:div w:id="446702010">
              <w:marLeft w:val="0"/>
              <w:marRight w:val="0"/>
              <w:marTop w:val="0"/>
              <w:marBottom w:val="0"/>
              <w:divBdr>
                <w:top w:val="none" w:sz="0" w:space="0" w:color="auto"/>
                <w:left w:val="none" w:sz="0" w:space="0" w:color="auto"/>
                <w:bottom w:val="none" w:sz="0" w:space="0" w:color="auto"/>
                <w:right w:val="none" w:sz="0" w:space="0" w:color="auto"/>
              </w:divBdr>
            </w:div>
            <w:div w:id="1907761049">
              <w:marLeft w:val="0"/>
              <w:marRight w:val="0"/>
              <w:marTop w:val="0"/>
              <w:marBottom w:val="0"/>
              <w:divBdr>
                <w:top w:val="none" w:sz="0" w:space="0" w:color="auto"/>
                <w:left w:val="none" w:sz="0" w:space="0" w:color="auto"/>
                <w:bottom w:val="none" w:sz="0" w:space="0" w:color="auto"/>
                <w:right w:val="none" w:sz="0" w:space="0" w:color="auto"/>
              </w:divBdr>
            </w:div>
            <w:div w:id="911694020">
              <w:marLeft w:val="0"/>
              <w:marRight w:val="0"/>
              <w:marTop w:val="0"/>
              <w:marBottom w:val="0"/>
              <w:divBdr>
                <w:top w:val="none" w:sz="0" w:space="0" w:color="auto"/>
                <w:left w:val="none" w:sz="0" w:space="0" w:color="auto"/>
                <w:bottom w:val="none" w:sz="0" w:space="0" w:color="auto"/>
                <w:right w:val="none" w:sz="0" w:space="0" w:color="auto"/>
              </w:divBdr>
            </w:div>
            <w:div w:id="208961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i.mnr.gov.cn/202208/t20220819_2756940.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570</Words>
  <Characters>3252</Characters>
  <Application>Microsoft Office Word</Application>
  <DocSecurity>0</DocSecurity>
  <Lines>27</Lines>
  <Paragraphs>7</Paragraphs>
  <ScaleCrop>false</ScaleCrop>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2022-08-25T10:02:00Z</dcterms:created>
  <dcterms:modified xsi:type="dcterms:W3CDTF">2022-08-26T03:01:00Z</dcterms:modified>
</cp:coreProperties>
</file>