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F6D4" w14:textId="77777777" w:rsidR="008B09BE" w:rsidRPr="008B09BE" w:rsidRDefault="008B09BE" w:rsidP="00DB3F73">
      <w:pPr>
        <w:pStyle w:val="AD"/>
        <w:spacing w:line="276" w:lineRule="auto"/>
        <w:jc w:val="center"/>
        <w:rPr>
          <w:rFonts w:hint="eastAsia"/>
          <w:b/>
          <w:bCs/>
          <w:color w:val="E36C0A" w:themeColor="accent6" w:themeShade="BF"/>
          <w:sz w:val="32"/>
          <w:szCs w:val="32"/>
        </w:rPr>
      </w:pPr>
      <w:bookmarkStart w:id="0" w:name="_GoBack"/>
      <w:bookmarkEnd w:id="0"/>
      <w:r w:rsidRPr="008B09BE">
        <w:rPr>
          <w:rFonts w:hint="eastAsia"/>
          <w:b/>
          <w:bCs/>
          <w:color w:val="E36C0A" w:themeColor="accent6" w:themeShade="BF"/>
          <w:sz w:val="32"/>
          <w:szCs w:val="32"/>
        </w:rPr>
        <w:t>关于进一步加强国有金融企业财务管理的通知</w:t>
      </w:r>
    </w:p>
    <w:p w14:paraId="7D020A6A" w14:textId="77777777" w:rsidR="008B09BE" w:rsidRDefault="008B09BE" w:rsidP="00DB3F73">
      <w:pPr>
        <w:pStyle w:val="AD"/>
        <w:spacing w:line="276" w:lineRule="auto"/>
        <w:jc w:val="center"/>
        <w:rPr>
          <w:rFonts w:hint="eastAsia"/>
        </w:rPr>
      </w:pPr>
      <w:r>
        <w:rPr>
          <w:rFonts w:hint="eastAsia"/>
        </w:rPr>
        <w:t>财金〔</w:t>
      </w:r>
      <w:r>
        <w:rPr>
          <w:rFonts w:hint="eastAsia"/>
        </w:rPr>
        <w:t>2022</w:t>
      </w:r>
      <w:r>
        <w:rPr>
          <w:rFonts w:hint="eastAsia"/>
        </w:rPr>
        <w:t>〕</w:t>
      </w:r>
      <w:r>
        <w:rPr>
          <w:rFonts w:hint="eastAsia"/>
        </w:rPr>
        <w:t>87</w:t>
      </w:r>
      <w:r>
        <w:rPr>
          <w:rFonts w:hint="eastAsia"/>
        </w:rPr>
        <w:t>号</w:t>
      </w:r>
    </w:p>
    <w:p w14:paraId="525677D2" w14:textId="77777777" w:rsidR="008B09BE" w:rsidRDefault="008B09BE" w:rsidP="00DB3F73">
      <w:pPr>
        <w:pStyle w:val="AD"/>
        <w:spacing w:line="276" w:lineRule="auto"/>
      </w:pPr>
    </w:p>
    <w:p w14:paraId="5A3FA21B" w14:textId="77777777" w:rsidR="008B09BE" w:rsidRDefault="008B09BE" w:rsidP="00DB3F73">
      <w:pPr>
        <w:pStyle w:val="AD"/>
        <w:spacing w:line="276" w:lineRule="auto"/>
        <w:rPr>
          <w:rFonts w:hint="eastAsia"/>
        </w:rPr>
      </w:pPr>
      <w:r>
        <w:rPr>
          <w:rFonts w:hint="eastAsia"/>
        </w:rPr>
        <w:t>人民银行、银保监会、证监会，各省、自治区、直辖市、计划单列市财政厅（局），新疆生产建设兵团财政局，财政部各地监管局，各中央金融企业，其他各国有金融企业：</w:t>
      </w:r>
    </w:p>
    <w:p w14:paraId="563AD873" w14:textId="77777777" w:rsidR="008B09BE" w:rsidRDefault="008B09BE" w:rsidP="00DB3F73">
      <w:pPr>
        <w:pStyle w:val="AD"/>
        <w:spacing w:line="276" w:lineRule="auto"/>
      </w:pPr>
    </w:p>
    <w:p w14:paraId="2A8E8A2C" w14:textId="77777777" w:rsidR="008B09BE" w:rsidRDefault="008B09BE" w:rsidP="00DB3F73">
      <w:pPr>
        <w:pStyle w:val="AD"/>
        <w:spacing w:line="276" w:lineRule="auto"/>
        <w:rPr>
          <w:rFonts w:hint="eastAsia"/>
        </w:rPr>
      </w:pPr>
      <w:r>
        <w:rPr>
          <w:rFonts w:hint="eastAsia"/>
        </w:rPr>
        <w:t xml:space="preserve">　　为深入贯彻落实党中央、国务院关于进一步严肃财经纪律、整饬财经秩序、规范财务管理的工作要求，引导金融企业规范有序健康平稳运行，促进金融业高质量发展，现就进一步加强国有金融企业财务管理通知如下：</w:t>
      </w:r>
    </w:p>
    <w:p w14:paraId="39577E05" w14:textId="77777777" w:rsidR="008B09BE" w:rsidRDefault="008B09BE" w:rsidP="00DB3F73">
      <w:pPr>
        <w:pStyle w:val="AD"/>
        <w:spacing w:line="276" w:lineRule="auto"/>
      </w:pPr>
    </w:p>
    <w:p w14:paraId="6C8A5CF5" w14:textId="77777777" w:rsidR="008B09BE" w:rsidRDefault="008B09BE" w:rsidP="00DB3F73">
      <w:pPr>
        <w:pStyle w:val="AD"/>
        <w:spacing w:line="276" w:lineRule="auto"/>
        <w:rPr>
          <w:rFonts w:hint="eastAsia"/>
        </w:rPr>
      </w:pPr>
      <w:r>
        <w:rPr>
          <w:rFonts w:hint="eastAsia"/>
        </w:rPr>
        <w:t xml:space="preserve">　　一、规范金融企业收支管理，夯实财务基础，促进降本增效高质量发展</w:t>
      </w:r>
    </w:p>
    <w:p w14:paraId="131D065D" w14:textId="77777777" w:rsidR="008B09BE" w:rsidRDefault="008B09BE" w:rsidP="00DB3F73">
      <w:pPr>
        <w:pStyle w:val="AD"/>
        <w:spacing w:line="276" w:lineRule="auto"/>
      </w:pPr>
    </w:p>
    <w:p w14:paraId="5B89CBDD" w14:textId="77777777" w:rsidR="008B09BE" w:rsidRDefault="008B09BE" w:rsidP="00DB3F73">
      <w:pPr>
        <w:pStyle w:val="AD"/>
        <w:spacing w:line="276" w:lineRule="auto"/>
        <w:rPr>
          <w:rFonts w:hint="eastAsia"/>
        </w:rPr>
      </w:pPr>
      <w:r>
        <w:rPr>
          <w:rFonts w:hint="eastAsia"/>
        </w:rPr>
        <w:t xml:space="preserve">　　（一）加强财务预算管理，合理控制费用开支。金融企业应当严格遵守财经法律法规和制度规定，牢固树立过紧日子思想，以成本管控为中心，严格预算管理、强化内部控制，对非必要费用支出应</w:t>
      </w:r>
      <w:proofErr w:type="gramStart"/>
      <w:r>
        <w:rPr>
          <w:rFonts w:hint="eastAsia"/>
        </w:rPr>
        <w:t>减尽减</w:t>
      </w:r>
      <w:proofErr w:type="gramEnd"/>
      <w:r>
        <w:rPr>
          <w:rFonts w:hint="eastAsia"/>
        </w:rPr>
        <w:t>，避免铺张浪费，及时纠正不必要、不规范的支出。</w:t>
      </w:r>
    </w:p>
    <w:p w14:paraId="505ED253" w14:textId="77777777" w:rsidR="008B09BE" w:rsidRDefault="008B09BE" w:rsidP="00DB3F73">
      <w:pPr>
        <w:pStyle w:val="AD"/>
        <w:spacing w:line="276" w:lineRule="auto"/>
      </w:pPr>
    </w:p>
    <w:p w14:paraId="60B7895A" w14:textId="77777777" w:rsidR="008B09BE" w:rsidRDefault="008B09BE" w:rsidP="00DB3F73">
      <w:pPr>
        <w:pStyle w:val="AD"/>
        <w:spacing w:line="276" w:lineRule="auto"/>
        <w:rPr>
          <w:rFonts w:hint="eastAsia"/>
        </w:rPr>
      </w:pPr>
      <w:r>
        <w:rPr>
          <w:rFonts w:hint="eastAsia"/>
        </w:rPr>
        <w:t xml:space="preserve">　　金融企业应当精简会议、差旅、培训、论坛、庆典等相关活动，加强地点相同、对象重叠、内容相近等活动整合，积极采用视频、电话、网络等新型方式开展，节约相关费用开支。严格控制一般性赞助支出，有效整合广告支出和企业文化建设支出。</w:t>
      </w:r>
    </w:p>
    <w:p w14:paraId="7C1D1B4E" w14:textId="77777777" w:rsidR="008B09BE" w:rsidRDefault="008B09BE" w:rsidP="00DB3F73">
      <w:pPr>
        <w:pStyle w:val="AD"/>
        <w:spacing w:line="276" w:lineRule="auto"/>
      </w:pPr>
    </w:p>
    <w:p w14:paraId="03AD88D5" w14:textId="77777777" w:rsidR="008B09BE" w:rsidRDefault="008B09BE" w:rsidP="00DB3F73">
      <w:pPr>
        <w:pStyle w:val="AD"/>
        <w:spacing w:line="276" w:lineRule="auto"/>
        <w:rPr>
          <w:rFonts w:hint="eastAsia"/>
        </w:rPr>
      </w:pPr>
      <w:r>
        <w:rPr>
          <w:rFonts w:hint="eastAsia"/>
        </w:rPr>
        <w:t xml:space="preserve">　　金融企业应当从严从紧</w:t>
      </w:r>
      <w:proofErr w:type="gramStart"/>
      <w:r>
        <w:rPr>
          <w:rFonts w:hint="eastAsia"/>
        </w:rPr>
        <w:t>核定因</w:t>
      </w:r>
      <w:proofErr w:type="gramEnd"/>
      <w:r>
        <w:rPr>
          <w:rFonts w:hint="eastAsia"/>
        </w:rPr>
        <w:t>公出国</w:t>
      </w:r>
      <w:r>
        <w:rPr>
          <w:rFonts w:hint="eastAsia"/>
        </w:rPr>
        <w:t>(</w:t>
      </w:r>
      <w:r>
        <w:rPr>
          <w:rFonts w:hint="eastAsia"/>
        </w:rPr>
        <w:t>境</w:t>
      </w:r>
      <w:r>
        <w:rPr>
          <w:rFonts w:hint="eastAsia"/>
        </w:rPr>
        <w:t>)</w:t>
      </w:r>
      <w:r>
        <w:rPr>
          <w:rFonts w:hint="eastAsia"/>
        </w:rPr>
        <w:t>、公车购置及运行、业务招待费预算。对无实质内容的因公出国</w:t>
      </w:r>
      <w:r>
        <w:rPr>
          <w:rFonts w:hint="eastAsia"/>
        </w:rPr>
        <w:t>(</w:t>
      </w:r>
      <w:r>
        <w:rPr>
          <w:rFonts w:hint="eastAsia"/>
        </w:rPr>
        <w:t>境</w:t>
      </w:r>
      <w:r>
        <w:rPr>
          <w:rFonts w:hint="eastAsia"/>
        </w:rPr>
        <w:t>)</w:t>
      </w:r>
      <w:r>
        <w:rPr>
          <w:rFonts w:hint="eastAsia"/>
        </w:rPr>
        <w:t>、业务招待等活动，要坚决予以取消。巩固公务用车制度改革成果，加强保留车辆使用管理，严格控制车辆报废更新，切实降低公务用车运行成本。严格控制业务招待活动数量和费用预算，分类按要求确定和落实商务、外事和其他公务招待标准，明确业务招待费的申请、审批、实施、报销等程序。</w:t>
      </w:r>
    </w:p>
    <w:p w14:paraId="336712D8" w14:textId="77777777" w:rsidR="008B09BE" w:rsidRDefault="008B09BE" w:rsidP="00DB3F73">
      <w:pPr>
        <w:pStyle w:val="AD"/>
        <w:spacing w:line="276" w:lineRule="auto"/>
      </w:pPr>
    </w:p>
    <w:p w14:paraId="144ABC8B" w14:textId="77777777" w:rsidR="008B09BE" w:rsidRDefault="008B09BE" w:rsidP="00DB3F73">
      <w:pPr>
        <w:pStyle w:val="AD"/>
        <w:spacing w:line="276" w:lineRule="auto"/>
        <w:rPr>
          <w:rFonts w:hint="eastAsia"/>
        </w:rPr>
      </w:pPr>
      <w:r>
        <w:rPr>
          <w:rFonts w:hint="eastAsia"/>
        </w:rPr>
        <w:t xml:space="preserve">　　金融企业开展商务宴请严禁讲排场、杜绝奢侈浪费，严格按规定执行招待标准，严禁购买提供高档酒水。金融企业因商务招待活动需要赠送纪念品的，应当节约从简，以宣传企业形象、展示企业文化或体现地域文化等为主要内容。</w:t>
      </w:r>
    </w:p>
    <w:p w14:paraId="122FCC55" w14:textId="77777777" w:rsidR="008B09BE" w:rsidRDefault="008B09BE" w:rsidP="00DB3F73">
      <w:pPr>
        <w:pStyle w:val="AD"/>
        <w:spacing w:line="276" w:lineRule="auto"/>
      </w:pPr>
    </w:p>
    <w:p w14:paraId="4EBE9652" w14:textId="77777777" w:rsidR="008B09BE" w:rsidRDefault="008B09BE" w:rsidP="00DB3F73">
      <w:pPr>
        <w:pStyle w:val="AD"/>
        <w:spacing w:line="276" w:lineRule="auto"/>
        <w:rPr>
          <w:rFonts w:hint="eastAsia"/>
        </w:rPr>
      </w:pPr>
      <w:r>
        <w:rPr>
          <w:rFonts w:hint="eastAsia"/>
        </w:rPr>
        <w:t xml:space="preserve">　　金融企业应当严格规范办公用房管理，严禁违规购建办公用房，严禁豪华装饰办公用房以及配备高档办公家具；严格新增资产配置管理，与资产存量情况挂钩，办公用房等资产存在闲置或对外出租、具备再利用条件的，原则上在同一县级区域内不得申请新增</w:t>
      </w:r>
      <w:r>
        <w:rPr>
          <w:rFonts w:hint="eastAsia"/>
        </w:rPr>
        <w:t>(</w:t>
      </w:r>
      <w:r>
        <w:rPr>
          <w:rFonts w:hint="eastAsia"/>
        </w:rPr>
        <w:t>含租用</w:t>
      </w:r>
      <w:r>
        <w:rPr>
          <w:rFonts w:hint="eastAsia"/>
        </w:rPr>
        <w:t>)</w:t>
      </w:r>
      <w:r>
        <w:rPr>
          <w:rFonts w:hint="eastAsia"/>
        </w:rPr>
        <w:t>同类资产，对于闲置办公用房等资产要及时整合利用或处置，避免资源浪费。</w:t>
      </w:r>
    </w:p>
    <w:p w14:paraId="00999F89" w14:textId="77777777" w:rsidR="008B09BE" w:rsidRDefault="008B09BE" w:rsidP="00DB3F73">
      <w:pPr>
        <w:pStyle w:val="AD"/>
        <w:spacing w:line="276" w:lineRule="auto"/>
      </w:pPr>
    </w:p>
    <w:p w14:paraId="2089F2C9" w14:textId="77777777" w:rsidR="008B09BE" w:rsidRDefault="008B09BE" w:rsidP="00DB3F73">
      <w:pPr>
        <w:pStyle w:val="AD"/>
        <w:spacing w:line="276" w:lineRule="auto"/>
        <w:rPr>
          <w:rFonts w:hint="eastAsia"/>
        </w:rPr>
      </w:pPr>
      <w:r>
        <w:rPr>
          <w:rFonts w:hint="eastAsia"/>
        </w:rPr>
        <w:t xml:space="preserve">　　金融企业集中采购应当遵循公开、公平、公正、诚实信用和效益原则，可以采用公开招标、邀请招标、竞争性谈判、竞争性磋商、单一来源采购、询价，以及有关管理部门认定的其他采购方式。金融企业应按采购计划实施集中采购，并纳入年度预算管理。计划外的集中采购事项，应按企业内部相关规定报批。采购计划的重大调整，应按程序报集中采购管理委员会审议。</w:t>
      </w:r>
    </w:p>
    <w:p w14:paraId="6733BC58" w14:textId="77777777" w:rsidR="008B09BE" w:rsidRDefault="008B09BE" w:rsidP="00DB3F73">
      <w:pPr>
        <w:pStyle w:val="AD"/>
        <w:spacing w:line="276" w:lineRule="auto"/>
      </w:pPr>
    </w:p>
    <w:p w14:paraId="46CD7192" w14:textId="77777777" w:rsidR="008B09BE" w:rsidRDefault="008B09BE" w:rsidP="00DB3F73">
      <w:pPr>
        <w:pStyle w:val="AD"/>
        <w:spacing w:line="276" w:lineRule="auto"/>
        <w:rPr>
          <w:rFonts w:hint="eastAsia"/>
        </w:rPr>
      </w:pPr>
      <w:r>
        <w:rPr>
          <w:rFonts w:hint="eastAsia"/>
        </w:rPr>
        <w:t xml:space="preserve">　　金融企业应当严格执行国家关于职工个人待遇相关规定，由个人承担的娱乐、健身、旅游、招待、购物、馈赠等支出不得在企业成本费用中列支。其中，为职工建立补充医疗保险，所需费用按照国家规定的标准在成本费用中列支；超过规定标准部分或超过医疗保险报销范围部分，由职工个人负担。</w:t>
      </w:r>
    </w:p>
    <w:p w14:paraId="528AB7EB" w14:textId="77777777" w:rsidR="008B09BE" w:rsidRDefault="008B09BE" w:rsidP="00DB3F73">
      <w:pPr>
        <w:pStyle w:val="AD"/>
        <w:spacing w:line="276" w:lineRule="auto"/>
      </w:pPr>
    </w:p>
    <w:p w14:paraId="2EBE8FF5" w14:textId="77777777" w:rsidR="008B09BE" w:rsidRDefault="008B09BE" w:rsidP="00DB3F73">
      <w:pPr>
        <w:pStyle w:val="AD"/>
        <w:spacing w:line="276" w:lineRule="auto"/>
        <w:rPr>
          <w:rFonts w:hint="eastAsia"/>
        </w:rPr>
      </w:pPr>
      <w:r>
        <w:rPr>
          <w:rFonts w:hint="eastAsia"/>
        </w:rPr>
        <w:t xml:space="preserve">　　（二）严格落实履职待遇、业务支出管理要求，进一步强化金融企业对下属部门和机构的管理责任。金融企业应当按规定严格落实履职待遇、业务支出管理要求，按标准规范配置公务用车、办公用房，国内出差、因公出国</w:t>
      </w:r>
      <w:r>
        <w:rPr>
          <w:rFonts w:hint="eastAsia"/>
        </w:rPr>
        <w:t>(</w:t>
      </w:r>
      <w:r>
        <w:rPr>
          <w:rFonts w:hint="eastAsia"/>
        </w:rPr>
        <w:t>境</w:t>
      </w:r>
      <w:r>
        <w:rPr>
          <w:rFonts w:hint="eastAsia"/>
        </w:rPr>
        <w:t>)</w:t>
      </w:r>
      <w:r>
        <w:rPr>
          <w:rFonts w:hint="eastAsia"/>
        </w:rPr>
        <w:t>按规定标准乘坐交通工具、落实住宿和餐饮标准，严格规范内部各级分支机构、</w:t>
      </w:r>
      <w:proofErr w:type="gramStart"/>
      <w:r>
        <w:rPr>
          <w:rFonts w:hint="eastAsia"/>
        </w:rPr>
        <w:t>子机构</w:t>
      </w:r>
      <w:proofErr w:type="gramEnd"/>
      <w:r>
        <w:rPr>
          <w:rFonts w:hint="eastAsia"/>
        </w:rPr>
        <w:t>差旅、住宿、接待标准。</w:t>
      </w:r>
    </w:p>
    <w:p w14:paraId="5FA57ED2" w14:textId="77777777" w:rsidR="008B09BE" w:rsidRDefault="008B09BE" w:rsidP="00DB3F73">
      <w:pPr>
        <w:pStyle w:val="AD"/>
        <w:spacing w:line="276" w:lineRule="auto"/>
      </w:pPr>
    </w:p>
    <w:p w14:paraId="6AFF2FCE" w14:textId="77777777" w:rsidR="008B09BE" w:rsidRDefault="008B09BE" w:rsidP="00DB3F73">
      <w:pPr>
        <w:pStyle w:val="AD"/>
        <w:spacing w:line="276" w:lineRule="auto"/>
        <w:rPr>
          <w:rFonts w:hint="eastAsia"/>
        </w:rPr>
      </w:pPr>
      <w:r>
        <w:rPr>
          <w:rFonts w:hint="eastAsia"/>
        </w:rPr>
        <w:t xml:space="preserve">　　金融企业应当建立健全负责人公务用车管理制度，严格落实</w:t>
      </w:r>
      <w:r>
        <w:rPr>
          <w:rFonts w:hint="eastAsia"/>
        </w:rPr>
        <w:t>1</w:t>
      </w:r>
      <w:r>
        <w:rPr>
          <w:rFonts w:hint="eastAsia"/>
        </w:rPr>
        <w:t>人</w:t>
      </w:r>
      <w:r>
        <w:rPr>
          <w:rFonts w:hint="eastAsia"/>
        </w:rPr>
        <w:t>1</w:t>
      </w:r>
      <w:r>
        <w:rPr>
          <w:rFonts w:hint="eastAsia"/>
        </w:rPr>
        <w:t>车或多人</w:t>
      </w:r>
      <w:r>
        <w:rPr>
          <w:rFonts w:hint="eastAsia"/>
        </w:rPr>
        <w:t>1</w:t>
      </w:r>
      <w:r>
        <w:rPr>
          <w:rFonts w:hint="eastAsia"/>
        </w:rPr>
        <w:t>车为负责人配备</w:t>
      </w:r>
      <w:r>
        <w:rPr>
          <w:rFonts w:hint="eastAsia"/>
        </w:rPr>
        <w:t>(</w:t>
      </w:r>
      <w:r>
        <w:rPr>
          <w:rFonts w:hint="eastAsia"/>
        </w:rPr>
        <w:t>包括购置、租赁</w:t>
      </w:r>
      <w:r>
        <w:rPr>
          <w:rFonts w:hint="eastAsia"/>
        </w:rPr>
        <w:t>)</w:t>
      </w:r>
      <w:r>
        <w:rPr>
          <w:rFonts w:hint="eastAsia"/>
        </w:rPr>
        <w:t>公务用车，不得为参加车改人员既发放公务用车补贴又提供公务用车保障。</w:t>
      </w:r>
    </w:p>
    <w:p w14:paraId="5AD9D2CB" w14:textId="77777777" w:rsidR="008B09BE" w:rsidRDefault="008B09BE" w:rsidP="00DB3F73">
      <w:pPr>
        <w:pStyle w:val="AD"/>
        <w:spacing w:line="276" w:lineRule="auto"/>
      </w:pPr>
    </w:p>
    <w:p w14:paraId="71789161" w14:textId="77777777" w:rsidR="008B09BE" w:rsidRDefault="008B09BE" w:rsidP="00DB3F73">
      <w:pPr>
        <w:pStyle w:val="AD"/>
        <w:spacing w:line="276" w:lineRule="auto"/>
        <w:rPr>
          <w:rFonts w:hint="eastAsia"/>
        </w:rPr>
      </w:pPr>
      <w:r>
        <w:rPr>
          <w:rFonts w:hint="eastAsia"/>
        </w:rPr>
        <w:t xml:space="preserve">　　金融企业应当落实内部管理主体责任，及时传达和细化管理政策，督促下属部门和机构落实制度；按规定分级分档确定各级机构负责人履职待遇、业务支出各项标准，其他高级管理人员以及下属部门和机构主要负责人各项标准不超过总公司</w:t>
      </w:r>
      <w:r>
        <w:rPr>
          <w:rFonts w:hint="eastAsia"/>
        </w:rPr>
        <w:t>(</w:t>
      </w:r>
      <w:r>
        <w:rPr>
          <w:rFonts w:hint="eastAsia"/>
        </w:rPr>
        <w:t>或总行</w:t>
      </w:r>
      <w:r>
        <w:rPr>
          <w:rFonts w:hint="eastAsia"/>
        </w:rPr>
        <w:t>)</w:t>
      </w:r>
      <w:r>
        <w:rPr>
          <w:rFonts w:hint="eastAsia"/>
        </w:rPr>
        <w:t>副职负责人标准，下属部门和机构其他负责人应当低于总公司</w:t>
      </w:r>
      <w:r>
        <w:rPr>
          <w:rFonts w:hint="eastAsia"/>
        </w:rPr>
        <w:t>(</w:t>
      </w:r>
      <w:r>
        <w:rPr>
          <w:rFonts w:hint="eastAsia"/>
        </w:rPr>
        <w:t>或总行</w:t>
      </w:r>
      <w:r>
        <w:rPr>
          <w:rFonts w:hint="eastAsia"/>
        </w:rPr>
        <w:t>)</w:t>
      </w:r>
      <w:r>
        <w:rPr>
          <w:rFonts w:hint="eastAsia"/>
        </w:rPr>
        <w:t>副职负责人标准。</w:t>
      </w:r>
    </w:p>
    <w:p w14:paraId="396E3C10" w14:textId="77777777" w:rsidR="008B09BE" w:rsidRDefault="008B09BE" w:rsidP="00DB3F73">
      <w:pPr>
        <w:pStyle w:val="AD"/>
        <w:spacing w:line="276" w:lineRule="auto"/>
      </w:pPr>
    </w:p>
    <w:p w14:paraId="5502F52C" w14:textId="77777777" w:rsidR="008B09BE" w:rsidRDefault="008B09BE" w:rsidP="00DB3F73">
      <w:pPr>
        <w:pStyle w:val="AD"/>
        <w:spacing w:line="276" w:lineRule="auto"/>
        <w:rPr>
          <w:rFonts w:hint="eastAsia"/>
        </w:rPr>
      </w:pPr>
      <w:r>
        <w:rPr>
          <w:rFonts w:hint="eastAsia"/>
        </w:rPr>
        <w:t xml:space="preserve">　　中央金融企业、各省份所属金融企业，以及相关部门所属金融企业应当按对应层级依规合理确定履职待遇、业务支出各项标准，并予以落实。</w:t>
      </w:r>
    </w:p>
    <w:p w14:paraId="6D847E23" w14:textId="77777777" w:rsidR="008B09BE" w:rsidRDefault="008B09BE" w:rsidP="00DB3F73">
      <w:pPr>
        <w:pStyle w:val="AD"/>
        <w:spacing w:line="276" w:lineRule="auto"/>
      </w:pPr>
    </w:p>
    <w:p w14:paraId="0EE7E6CD" w14:textId="77777777" w:rsidR="008B09BE" w:rsidRDefault="008B09BE" w:rsidP="00DB3F73">
      <w:pPr>
        <w:pStyle w:val="AD"/>
        <w:spacing w:line="276" w:lineRule="auto"/>
        <w:rPr>
          <w:rFonts w:hint="eastAsia"/>
        </w:rPr>
      </w:pPr>
      <w:r>
        <w:rPr>
          <w:rFonts w:hint="eastAsia"/>
        </w:rPr>
        <w:t xml:space="preserve">　　（三）积极优化内部收入分配结构，科学设计薪酬体系，合理控制岗位分配级差。金融企业应当主动优化内部收入分配结构，充分发挥工资薪酬的正向激励作用，有效落实总部职工平均工资增幅原则上应低于本企业在岗职工平均工资增幅，中高级管理岗位人员平均工资增幅原则上不高于本企业在岗职工平均工资增幅的政策要求。金融企业要有效履行对控股子公司、分支机构、直管企业以及其他实际控制企业薪酬管理的主体责任。</w:t>
      </w:r>
    </w:p>
    <w:p w14:paraId="718DF11B" w14:textId="77777777" w:rsidR="008B09BE" w:rsidRDefault="008B09BE" w:rsidP="00DB3F73">
      <w:pPr>
        <w:pStyle w:val="AD"/>
        <w:spacing w:line="276" w:lineRule="auto"/>
      </w:pPr>
    </w:p>
    <w:p w14:paraId="6D678035" w14:textId="77777777" w:rsidR="008B09BE" w:rsidRDefault="008B09BE" w:rsidP="00DB3F73">
      <w:pPr>
        <w:pStyle w:val="AD"/>
        <w:spacing w:line="276" w:lineRule="auto"/>
        <w:rPr>
          <w:rFonts w:hint="eastAsia"/>
        </w:rPr>
      </w:pPr>
      <w:r>
        <w:rPr>
          <w:rFonts w:hint="eastAsia"/>
        </w:rPr>
        <w:t xml:space="preserve">　　金融企业应当合理控制岗位分配级差，充分调动一线员工、基层员工的积极性，有效平衡好领导班子、中层干部和基层员工的收入分配关系，对于总部职工平均工资明显高于本企业在岗职工平均工资的，其年度工资总额要进一步加大向一线员工、基层员工倾斜力度。</w:t>
      </w:r>
    </w:p>
    <w:p w14:paraId="36AE6492" w14:textId="77777777" w:rsidR="008B09BE" w:rsidRDefault="008B09BE" w:rsidP="00DB3F73">
      <w:pPr>
        <w:pStyle w:val="AD"/>
        <w:spacing w:line="276" w:lineRule="auto"/>
      </w:pPr>
    </w:p>
    <w:p w14:paraId="5B54FD7E" w14:textId="77777777" w:rsidR="008B09BE" w:rsidRDefault="008B09BE" w:rsidP="00DB3F73">
      <w:pPr>
        <w:pStyle w:val="AD"/>
        <w:spacing w:line="276" w:lineRule="auto"/>
        <w:rPr>
          <w:rFonts w:hint="eastAsia"/>
        </w:rPr>
      </w:pPr>
      <w:r>
        <w:rPr>
          <w:rFonts w:hint="eastAsia"/>
        </w:rPr>
        <w:t xml:space="preserve">　　金融企业应当严肃分配纪律，严格清理规范工资外收入，将所有工资性收入一律纳入工资总额管理，不得在工资总额之外以其他形式列支任何津贴、补贴等工资性支出，实现收入工资化、工资货币化、发放透明化。</w:t>
      </w:r>
    </w:p>
    <w:p w14:paraId="668DBD69" w14:textId="77777777" w:rsidR="008B09BE" w:rsidRDefault="008B09BE" w:rsidP="00DB3F73">
      <w:pPr>
        <w:pStyle w:val="AD"/>
        <w:spacing w:line="276" w:lineRule="auto"/>
      </w:pPr>
    </w:p>
    <w:p w14:paraId="66A861E6" w14:textId="77777777" w:rsidR="008B09BE" w:rsidRDefault="008B09BE" w:rsidP="00DB3F73">
      <w:pPr>
        <w:pStyle w:val="AD"/>
        <w:spacing w:line="276" w:lineRule="auto"/>
        <w:rPr>
          <w:rFonts w:hint="eastAsia"/>
        </w:rPr>
      </w:pPr>
      <w:r>
        <w:rPr>
          <w:rFonts w:hint="eastAsia"/>
        </w:rPr>
        <w:t xml:space="preserve">　　（四）建立健全薪酬分配递</w:t>
      </w:r>
      <w:proofErr w:type="gramStart"/>
      <w:r>
        <w:rPr>
          <w:rFonts w:hint="eastAsia"/>
        </w:rPr>
        <w:t>延支付</w:t>
      </w:r>
      <w:proofErr w:type="gramEnd"/>
      <w:r>
        <w:rPr>
          <w:rFonts w:hint="eastAsia"/>
        </w:rPr>
        <w:t>和</w:t>
      </w:r>
      <w:proofErr w:type="gramStart"/>
      <w:r>
        <w:rPr>
          <w:rFonts w:hint="eastAsia"/>
        </w:rPr>
        <w:t>追责追薪机制</w:t>
      </w:r>
      <w:proofErr w:type="gramEnd"/>
      <w:r>
        <w:rPr>
          <w:rFonts w:hint="eastAsia"/>
        </w:rPr>
        <w:t>。金融企业应当综合考虑市场条件、业绩情况、承担风险、薪酬战略等因素，科学设定不同岗位薪酬标准，并合理确定一定比例的绩效薪酬。对于金融企业高级管理人员及对风险有直接或重要影响岗位的员工，基本薪酬一般不</w:t>
      </w:r>
      <w:r>
        <w:rPr>
          <w:rFonts w:hint="eastAsia"/>
        </w:rPr>
        <w:lastRenderedPageBreak/>
        <w:t>高于薪酬总额的</w:t>
      </w:r>
      <w:r>
        <w:rPr>
          <w:rFonts w:hint="eastAsia"/>
        </w:rPr>
        <w:t>35%</w:t>
      </w:r>
      <w:r>
        <w:rPr>
          <w:rFonts w:hint="eastAsia"/>
        </w:rPr>
        <w:t>，根据其所负责业务收益和风险分期考核情况进行绩效薪酬延期支付，绩效薪酬的</w:t>
      </w:r>
      <w:r>
        <w:rPr>
          <w:rFonts w:hint="eastAsia"/>
        </w:rPr>
        <w:t>40%</w:t>
      </w:r>
      <w:r>
        <w:rPr>
          <w:rFonts w:hint="eastAsia"/>
        </w:rPr>
        <w:t>以上应当采取延期支付方式，延期支付期限一般不少于</w:t>
      </w:r>
      <w:r>
        <w:rPr>
          <w:rFonts w:hint="eastAsia"/>
        </w:rPr>
        <w:t>3</w:t>
      </w:r>
      <w:r>
        <w:rPr>
          <w:rFonts w:hint="eastAsia"/>
        </w:rPr>
        <w:t>年，确保绩效薪酬支付期限与相应业务的风险持续期限相匹配，国家另有规定的从其规定。</w:t>
      </w:r>
    </w:p>
    <w:p w14:paraId="64C09EF3" w14:textId="77777777" w:rsidR="008B09BE" w:rsidRDefault="008B09BE" w:rsidP="00DB3F73">
      <w:pPr>
        <w:pStyle w:val="AD"/>
        <w:spacing w:line="276" w:lineRule="auto"/>
      </w:pPr>
    </w:p>
    <w:p w14:paraId="4C9ECDC8" w14:textId="77777777" w:rsidR="008B09BE" w:rsidRDefault="008B09BE" w:rsidP="00DB3F73">
      <w:pPr>
        <w:pStyle w:val="AD"/>
        <w:spacing w:line="276" w:lineRule="auto"/>
        <w:rPr>
          <w:rFonts w:hint="eastAsia"/>
        </w:rPr>
      </w:pPr>
      <w:r>
        <w:rPr>
          <w:rFonts w:hint="eastAsia"/>
        </w:rPr>
        <w:t xml:space="preserve">　　金融企业应当制定绩效薪酬追索扣回制度，对于高级管理人员及对风险有直接或重要影响岗位的员工在自身职责内未能勤勉尽责，使得金融企业发生重大违法违规行为或者给金融企业造成重大风险损失的，金融企业应当依法依规并履行公司治理程序后将相应期限内已发放的部分或全部绩效薪酬追回，并止付未支付部分或全部薪酬。绩效薪酬追回期限原则上与相关责任人的行为发生期限一致。绩效薪酬追索扣回规定适用于已离职或退休人员。</w:t>
      </w:r>
    </w:p>
    <w:p w14:paraId="03495504" w14:textId="77777777" w:rsidR="008B09BE" w:rsidRDefault="008B09BE" w:rsidP="00DB3F73">
      <w:pPr>
        <w:pStyle w:val="AD"/>
        <w:spacing w:line="276" w:lineRule="auto"/>
      </w:pPr>
    </w:p>
    <w:p w14:paraId="2F4F2863" w14:textId="77777777" w:rsidR="008B09BE" w:rsidRDefault="008B09BE" w:rsidP="00DB3F73">
      <w:pPr>
        <w:pStyle w:val="AD"/>
        <w:spacing w:line="276" w:lineRule="auto"/>
        <w:rPr>
          <w:rFonts w:hint="eastAsia"/>
        </w:rPr>
      </w:pPr>
      <w:r>
        <w:rPr>
          <w:rFonts w:hint="eastAsia"/>
        </w:rPr>
        <w:t xml:space="preserve">　　二、加强金融资产管理，维护金融债权，有效防范金融风险</w:t>
      </w:r>
    </w:p>
    <w:p w14:paraId="0ACD1EB5" w14:textId="77777777" w:rsidR="008B09BE" w:rsidRDefault="008B09BE" w:rsidP="00DB3F73">
      <w:pPr>
        <w:pStyle w:val="AD"/>
        <w:spacing w:line="276" w:lineRule="auto"/>
      </w:pPr>
    </w:p>
    <w:p w14:paraId="7A1FCDD5" w14:textId="77777777" w:rsidR="008B09BE" w:rsidRDefault="008B09BE" w:rsidP="00DB3F73">
      <w:pPr>
        <w:pStyle w:val="AD"/>
        <w:spacing w:line="276" w:lineRule="auto"/>
        <w:rPr>
          <w:rFonts w:hint="eastAsia"/>
        </w:rPr>
      </w:pPr>
      <w:r>
        <w:rPr>
          <w:rFonts w:hint="eastAsia"/>
        </w:rPr>
        <w:t xml:space="preserve">　　（五）做实资产风险分类，准确合理计提风险拨备，真实公允反映经营成果。金融企业应当加强资产质量管理，做实资产风险分类，定期对各类资产风险分类开展重检，真实准确反映资产质量，不得以无效重组等方式隐瞒资产的真实风险状况。</w:t>
      </w:r>
    </w:p>
    <w:p w14:paraId="31285A8B" w14:textId="77777777" w:rsidR="008B09BE" w:rsidRDefault="008B09BE" w:rsidP="00DB3F73">
      <w:pPr>
        <w:pStyle w:val="AD"/>
        <w:spacing w:line="276" w:lineRule="auto"/>
      </w:pPr>
    </w:p>
    <w:p w14:paraId="74264B34" w14:textId="77777777" w:rsidR="008B09BE" w:rsidRDefault="008B09BE" w:rsidP="00DB3F73">
      <w:pPr>
        <w:pStyle w:val="AD"/>
        <w:spacing w:line="276" w:lineRule="auto"/>
        <w:rPr>
          <w:rFonts w:hint="eastAsia"/>
        </w:rPr>
      </w:pPr>
      <w:r>
        <w:rPr>
          <w:rFonts w:hint="eastAsia"/>
        </w:rPr>
        <w:t xml:space="preserve">　　其中，无效重组是指对不符合条件的债务人进行的债务协议重组（不包括法院主持下的破产重整等司法重组），或者重组后债务人难以实质性提质增效、化解风险的债务重组。不符合条件的债务人一般为已不能清偿到期债务，且资产不足以清偿全部债务或者明显缺乏清偿能力的债务企业，并具有下列条件之一：</w:t>
      </w:r>
      <w:r>
        <w:rPr>
          <w:rFonts w:hint="eastAsia"/>
        </w:rPr>
        <w:t>(1)</w:t>
      </w:r>
      <w:r>
        <w:rPr>
          <w:rFonts w:hint="eastAsia"/>
        </w:rPr>
        <w:t>已由国务院国资委或省级人民政府列入“僵尸企业”名单；</w:t>
      </w:r>
      <w:r>
        <w:rPr>
          <w:rFonts w:hint="eastAsia"/>
        </w:rPr>
        <w:t>(2)</w:t>
      </w:r>
      <w:r>
        <w:rPr>
          <w:rFonts w:hint="eastAsia"/>
        </w:rPr>
        <w:t>主要靠政府或企业总部补贴和银行续贷等方式维持生产经营，资产负债率超过</w:t>
      </w:r>
      <w:r>
        <w:rPr>
          <w:rFonts w:hint="eastAsia"/>
        </w:rPr>
        <w:t>85%</w:t>
      </w:r>
      <w:r>
        <w:rPr>
          <w:rFonts w:hint="eastAsia"/>
        </w:rPr>
        <w:t>且最近三个会计年度连续亏损，经营性净现金流为负值，并经债权金融企业评估存在实质性经营风险；</w:t>
      </w:r>
      <w:r>
        <w:rPr>
          <w:rFonts w:hint="eastAsia"/>
        </w:rPr>
        <w:t>(3)</w:t>
      </w:r>
      <w:r>
        <w:rPr>
          <w:rFonts w:hint="eastAsia"/>
        </w:rPr>
        <w:t>因生产经营困难已停产半年以上或半停产</w:t>
      </w:r>
      <w:r>
        <w:rPr>
          <w:rFonts w:hint="eastAsia"/>
        </w:rPr>
        <w:t>1</w:t>
      </w:r>
      <w:r>
        <w:rPr>
          <w:rFonts w:hint="eastAsia"/>
        </w:rPr>
        <w:t>年以上，并经债权金融企业评估复工无望。</w:t>
      </w:r>
    </w:p>
    <w:p w14:paraId="7C1FF961" w14:textId="77777777" w:rsidR="008B09BE" w:rsidRDefault="008B09BE" w:rsidP="00DB3F73">
      <w:pPr>
        <w:pStyle w:val="AD"/>
        <w:spacing w:line="276" w:lineRule="auto"/>
      </w:pPr>
    </w:p>
    <w:p w14:paraId="71AF093A" w14:textId="77777777" w:rsidR="008B09BE" w:rsidRDefault="008B09BE" w:rsidP="00DB3F73">
      <w:pPr>
        <w:pStyle w:val="AD"/>
        <w:spacing w:line="276" w:lineRule="auto"/>
        <w:rPr>
          <w:rFonts w:hint="eastAsia"/>
        </w:rPr>
      </w:pPr>
      <w:r>
        <w:rPr>
          <w:rFonts w:hint="eastAsia"/>
        </w:rPr>
        <w:t xml:space="preserve">　　金融企业应当综合评估自身资产状况，科学预测潜在风险，根据资产质量变化情况，客观合理评估资产减值损失，对承担风险和损失的资产根据有关规定及时足额提取各项准备金，增强风险抵御能力，真实反映盈利情况，不得通过人为调整准备金操纵利润。</w:t>
      </w:r>
    </w:p>
    <w:p w14:paraId="6301F42C" w14:textId="77777777" w:rsidR="008B09BE" w:rsidRDefault="008B09BE" w:rsidP="00DB3F73">
      <w:pPr>
        <w:pStyle w:val="AD"/>
        <w:spacing w:line="276" w:lineRule="auto"/>
      </w:pPr>
    </w:p>
    <w:p w14:paraId="5D0130CC" w14:textId="77777777" w:rsidR="008B09BE" w:rsidRDefault="008B09BE" w:rsidP="00DB3F73">
      <w:pPr>
        <w:pStyle w:val="AD"/>
        <w:spacing w:line="276" w:lineRule="auto"/>
        <w:rPr>
          <w:rFonts w:hint="eastAsia"/>
        </w:rPr>
      </w:pPr>
      <w:r>
        <w:rPr>
          <w:rFonts w:hint="eastAsia"/>
        </w:rPr>
        <w:t xml:space="preserve">　　（六）加强不良资产核销和处置管理，有效防范道德风险和国有资产流失。金融企业应当严格落实“符合认定条件、提供有效证据、账销案存、权在力催”基本原则，加大不良资产核销力度，用足用好现有核销政策。对于申请核销的不良资产，应当采取必要保全措施和实施必要追偿程序，切实履行对借款人及债务关联人、担保财产等尽职追索，认真查明原因，对于因履职不力等主观原因形成资产损失的，按规定确保相关责任认定和追究到位。</w:t>
      </w:r>
    </w:p>
    <w:p w14:paraId="11B9E2C5" w14:textId="77777777" w:rsidR="008B09BE" w:rsidRDefault="008B09BE" w:rsidP="00DB3F73">
      <w:pPr>
        <w:pStyle w:val="AD"/>
        <w:spacing w:line="276" w:lineRule="auto"/>
      </w:pPr>
    </w:p>
    <w:p w14:paraId="233D5F2F" w14:textId="77777777" w:rsidR="008B09BE" w:rsidRDefault="008B09BE" w:rsidP="00DB3F73">
      <w:pPr>
        <w:pStyle w:val="AD"/>
        <w:spacing w:line="276" w:lineRule="auto"/>
        <w:rPr>
          <w:rFonts w:hint="eastAsia"/>
        </w:rPr>
      </w:pPr>
      <w:r>
        <w:rPr>
          <w:rFonts w:hint="eastAsia"/>
        </w:rPr>
        <w:t xml:space="preserve">　　对于已核销资产，除依据国家有关规定权利义务已终结的外，金融企业应当实行</w:t>
      </w:r>
      <w:proofErr w:type="gramStart"/>
      <w:r>
        <w:rPr>
          <w:rFonts w:hint="eastAsia"/>
        </w:rPr>
        <w:t>账</w:t>
      </w:r>
      <w:proofErr w:type="gramEnd"/>
      <w:r>
        <w:rPr>
          <w:rFonts w:hint="eastAsia"/>
        </w:rPr>
        <w:t>销案存管理，建立核销后资产管理制度，按年度向董事会报告不良资产核销管理情况，包括核销资产情况、已核销资产清收处置进展、责任认定和责任追究情况等。其中，对于提交董事会审议通过的核销资产，应当建立统计台账，逐笔跟踪、监测处置进展情况。</w:t>
      </w:r>
    </w:p>
    <w:p w14:paraId="047949B9" w14:textId="77777777" w:rsidR="008B09BE" w:rsidRDefault="008B09BE" w:rsidP="00DB3F73">
      <w:pPr>
        <w:pStyle w:val="AD"/>
        <w:spacing w:line="276" w:lineRule="auto"/>
      </w:pPr>
    </w:p>
    <w:p w14:paraId="3C0DE1CC" w14:textId="77777777" w:rsidR="008B09BE" w:rsidRDefault="008B09BE" w:rsidP="00DB3F73">
      <w:pPr>
        <w:pStyle w:val="AD"/>
        <w:spacing w:line="276" w:lineRule="auto"/>
        <w:rPr>
          <w:rFonts w:hint="eastAsia"/>
        </w:rPr>
      </w:pPr>
      <w:r>
        <w:rPr>
          <w:rFonts w:hint="eastAsia"/>
        </w:rPr>
        <w:lastRenderedPageBreak/>
        <w:t xml:space="preserve">　　对已核销资产仍享有的合法权益，金融企业应当做到“账销案不销、追偿力不减、积极查线索、充分维权益”，定期检查追偿情况，切实履行清收职责；建立健全追偿责任制度、明确责任人，并依据追偿效果动态调整不良资产核销授权。对于核销时仍有追偿回收价值的已核销资产，如连续三年以上无实质性清收处置进展，金融企业应当向同级财政部门和金融管理部门进行报告。</w:t>
      </w:r>
    </w:p>
    <w:p w14:paraId="7B9C33A9" w14:textId="77777777" w:rsidR="008B09BE" w:rsidRDefault="008B09BE" w:rsidP="00DB3F73">
      <w:pPr>
        <w:pStyle w:val="AD"/>
        <w:spacing w:line="276" w:lineRule="auto"/>
      </w:pPr>
    </w:p>
    <w:p w14:paraId="3276D175" w14:textId="77777777" w:rsidR="008B09BE" w:rsidRDefault="008B09BE" w:rsidP="00DB3F73">
      <w:pPr>
        <w:pStyle w:val="AD"/>
        <w:spacing w:line="276" w:lineRule="auto"/>
        <w:rPr>
          <w:rFonts w:hint="eastAsia"/>
        </w:rPr>
      </w:pPr>
      <w:r>
        <w:rPr>
          <w:rFonts w:hint="eastAsia"/>
        </w:rPr>
        <w:t xml:space="preserve">　　金融企业不良资产对外转让应当坚持“依法合</w:t>
      </w:r>
      <w:proofErr w:type="gramStart"/>
      <w:r>
        <w:rPr>
          <w:rFonts w:hint="eastAsia"/>
        </w:rPr>
        <w:t>规</w:t>
      </w:r>
      <w:proofErr w:type="gramEnd"/>
      <w:r>
        <w:rPr>
          <w:rFonts w:hint="eastAsia"/>
        </w:rPr>
        <w:t>、公开透明、洁净转让、真实出售”原则，及时充分披露相关信息，严禁暗箱操作，防范道德风险，不得通过处置不良资产进行利益输送。严禁通过虚假转让不良资产，掩盖金融企业真实资产质量情况。所处置的不良资产</w:t>
      </w:r>
      <w:r>
        <w:rPr>
          <w:rFonts w:hint="eastAsia"/>
        </w:rPr>
        <w:t>(</w:t>
      </w:r>
      <w:r>
        <w:rPr>
          <w:rFonts w:hint="eastAsia"/>
        </w:rPr>
        <w:t>包括银行初次转让以及资产管理公司后续转让</w:t>
      </w:r>
      <w:r>
        <w:rPr>
          <w:rFonts w:hint="eastAsia"/>
        </w:rPr>
        <w:t>)</w:t>
      </w:r>
      <w:r>
        <w:rPr>
          <w:rFonts w:hint="eastAsia"/>
        </w:rPr>
        <w:t>，除依照国家有关规定与原债务人及利益相关方债务重组、资产重整外，不得折价转让给该资产原债务人及关联企业等利益相关方。其中，资产管理公司以批量转让方式购入的不良资产应当主要采取清收、债务重组、债转股等方式进行处置。金融企业应当对不良资产处置建立检查抽查制度，严厉打击利益输送等违法违规行为。</w:t>
      </w:r>
    </w:p>
    <w:p w14:paraId="134E411C" w14:textId="77777777" w:rsidR="008B09BE" w:rsidRDefault="008B09BE" w:rsidP="00DB3F73">
      <w:pPr>
        <w:pStyle w:val="AD"/>
        <w:spacing w:line="276" w:lineRule="auto"/>
      </w:pPr>
    </w:p>
    <w:p w14:paraId="3C248D37" w14:textId="77777777" w:rsidR="008B09BE" w:rsidRDefault="008B09BE" w:rsidP="00DB3F73">
      <w:pPr>
        <w:pStyle w:val="AD"/>
        <w:spacing w:line="276" w:lineRule="auto"/>
        <w:rPr>
          <w:rFonts w:hint="eastAsia"/>
        </w:rPr>
      </w:pPr>
      <w:r>
        <w:rPr>
          <w:rFonts w:hint="eastAsia"/>
        </w:rPr>
        <w:t xml:space="preserve">　　（七）强化境外投资管理，有效防范跨境资产风险。金融企业境外投资应当遵循“依法合</w:t>
      </w:r>
      <w:proofErr w:type="gramStart"/>
      <w:r>
        <w:rPr>
          <w:rFonts w:hint="eastAsia"/>
        </w:rPr>
        <w:t>规</w:t>
      </w:r>
      <w:proofErr w:type="gramEnd"/>
      <w:r>
        <w:rPr>
          <w:rFonts w:hint="eastAsia"/>
        </w:rPr>
        <w:t>、服务大局、商业运作、风险可控、廉洁自律、权责清晰”的原则，有效服务国家宏观政策和实体经济，按照市场化方式，审慎运作、严控风险、廉洁经营、权责对等，失责必问、问责必严。</w:t>
      </w:r>
    </w:p>
    <w:p w14:paraId="614A39BD" w14:textId="77777777" w:rsidR="008B09BE" w:rsidRDefault="008B09BE" w:rsidP="00DB3F73">
      <w:pPr>
        <w:pStyle w:val="AD"/>
        <w:spacing w:line="276" w:lineRule="auto"/>
      </w:pPr>
    </w:p>
    <w:p w14:paraId="779601CA" w14:textId="77777777" w:rsidR="008B09BE" w:rsidRDefault="008B09BE" w:rsidP="00DB3F73">
      <w:pPr>
        <w:pStyle w:val="AD"/>
        <w:spacing w:line="276" w:lineRule="auto"/>
        <w:rPr>
          <w:rFonts w:hint="eastAsia"/>
        </w:rPr>
      </w:pPr>
      <w:r>
        <w:rPr>
          <w:rFonts w:hint="eastAsia"/>
        </w:rPr>
        <w:t xml:space="preserve">　　金融企业境外投资决策要建立全流程、全链条管理机制，事前要实施尽职调查和可行性论证；事中要强化全面预算、逐级授权、项目跟踪、风险监测、资产监管和资金管控，实施决策、执行、监测不相容岗位分离机制，防范境外投资廉洁风险；事后开展绩效评价，实施追踪问效。对于发生损失的项目要依法落实责任认定、责任追究。</w:t>
      </w:r>
    </w:p>
    <w:p w14:paraId="50CFA56F" w14:textId="77777777" w:rsidR="008B09BE" w:rsidRDefault="008B09BE" w:rsidP="00DB3F73">
      <w:pPr>
        <w:pStyle w:val="AD"/>
        <w:spacing w:line="276" w:lineRule="auto"/>
      </w:pPr>
    </w:p>
    <w:p w14:paraId="490A6153" w14:textId="77777777" w:rsidR="008B09BE" w:rsidRDefault="008B09BE" w:rsidP="00DB3F73">
      <w:pPr>
        <w:pStyle w:val="AD"/>
        <w:spacing w:line="276" w:lineRule="auto"/>
        <w:rPr>
          <w:rFonts w:hint="eastAsia"/>
        </w:rPr>
      </w:pPr>
      <w:r>
        <w:rPr>
          <w:rFonts w:hint="eastAsia"/>
        </w:rPr>
        <w:t xml:space="preserve">　　三、压实金融企业主体责任，准确实施会计核算，真实完整披露财务会计报告</w:t>
      </w:r>
    </w:p>
    <w:p w14:paraId="2E448A5D" w14:textId="77777777" w:rsidR="008B09BE" w:rsidRDefault="008B09BE" w:rsidP="00DB3F73">
      <w:pPr>
        <w:pStyle w:val="AD"/>
        <w:spacing w:line="276" w:lineRule="auto"/>
      </w:pPr>
    </w:p>
    <w:p w14:paraId="167CEA21" w14:textId="77777777" w:rsidR="008B09BE" w:rsidRDefault="008B09BE" w:rsidP="00DB3F73">
      <w:pPr>
        <w:pStyle w:val="AD"/>
        <w:spacing w:line="276" w:lineRule="auto"/>
        <w:rPr>
          <w:rFonts w:hint="eastAsia"/>
        </w:rPr>
      </w:pPr>
      <w:r>
        <w:rPr>
          <w:rFonts w:hint="eastAsia"/>
        </w:rPr>
        <w:t xml:space="preserve">　　（八）金融企业要依法依规做好会计核算、编制财务会计报告，确保财务会计报告真实完整。金融企业应当根据法律法规、国家统一的会计制度规定，依据实际发生的经济业务事项进行会计核算，填制会计凭证、登记会计账簿，做到数据真实、计算准确、来源可靠，保证账证相符、账</w:t>
      </w:r>
      <w:proofErr w:type="gramStart"/>
      <w:r>
        <w:rPr>
          <w:rFonts w:hint="eastAsia"/>
        </w:rPr>
        <w:t>账</w:t>
      </w:r>
      <w:proofErr w:type="gramEnd"/>
      <w:r>
        <w:rPr>
          <w:rFonts w:hint="eastAsia"/>
        </w:rPr>
        <w:t>相符、账实相符、账表相符，不得混用科目，不得虚列、隐瞒、推迟或提前确认收入，不得虚增、多列、不列或少列费用、成本，不得虚增或虚减资产、负债、所有者权益，不得通过操纵会计信息调节财务指标和监管指标、隐匿风险，不得通过设计实施复杂交易等方式实现特定会计意图以规避监管要求。</w:t>
      </w:r>
    </w:p>
    <w:p w14:paraId="512EAD62" w14:textId="77777777" w:rsidR="008B09BE" w:rsidRDefault="008B09BE" w:rsidP="00DB3F73">
      <w:pPr>
        <w:pStyle w:val="AD"/>
        <w:spacing w:line="276" w:lineRule="auto"/>
      </w:pPr>
    </w:p>
    <w:p w14:paraId="06BE67B0" w14:textId="77777777" w:rsidR="008B09BE" w:rsidRDefault="008B09BE" w:rsidP="00DB3F73">
      <w:pPr>
        <w:pStyle w:val="AD"/>
        <w:spacing w:line="276" w:lineRule="auto"/>
        <w:rPr>
          <w:rFonts w:hint="eastAsia"/>
        </w:rPr>
      </w:pPr>
      <w:r>
        <w:rPr>
          <w:rFonts w:hint="eastAsia"/>
        </w:rPr>
        <w:t xml:space="preserve">　　金融企业应当依法依规编制财务会计报告，不得编制和对外提供虚假或者隐瞒重要事实的财务会计报告，切实履行会计信息质量主体责任；金融企业负责人对本企业财务会计报告的真实性、完整性负责。</w:t>
      </w:r>
    </w:p>
    <w:p w14:paraId="519C91AB" w14:textId="77777777" w:rsidR="008B09BE" w:rsidRDefault="008B09BE" w:rsidP="00DB3F73">
      <w:pPr>
        <w:pStyle w:val="AD"/>
        <w:spacing w:line="276" w:lineRule="auto"/>
      </w:pPr>
    </w:p>
    <w:p w14:paraId="7E8D38F0" w14:textId="77777777" w:rsidR="008B09BE" w:rsidRDefault="008B09BE" w:rsidP="00DB3F73">
      <w:pPr>
        <w:pStyle w:val="AD"/>
        <w:spacing w:line="276" w:lineRule="auto"/>
        <w:rPr>
          <w:rFonts w:hint="eastAsia"/>
        </w:rPr>
      </w:pPr>
      <w:r>
        <w:rPr>
          <w:rFonts w:hint="eastAsia"/>
        </w:rPr>
        <w:t xml:space="preserve">　　（九）金融企业要依法接受会计师事务所独立审计，为其独立客观发表审计意见提供有效</w:t>
      </w:r>
      <w:r>
        <w:rPr>
          <w:rFonts w:hint="eastAsia"/>
        </w:rPr>
        <w:lastRenderedPageBreak/>
        <w:t>支持和保障。金融企业要为会计师事务所执业过程中落实对股东负责机制、畅通报告路径、履行必要审计程序、客观发表审计意见提供有效支持和保障。</w:t>
      </w:r>
    </w:p>
    <w:p w14:paraId="0ACE5E01" w14:textId="77777777" w:rsidR="008B09BE" w:rsidRDefault="008B09BE" w:rsidP="00DB3F73">
      <w:pPr>
        <w:pStyle w:val="AD"/>
        <w:spacing w:line="276" w:lineRule="auto"/>
      </w:pPr>
    </w:p>
    <w:p w14:paraId="29F907EF" w14:textId="77777777" w:rsidR="008B09BE" w:rsidRDefault="008B09BE" w:rsidP="00DB3F73">
      <w:pPr>
        <w:pStyle w:val="AD"/>
        <w:spacing w:line="276" w:lineRule="auto"/>
        <w:rPr>
          <w:rFonts w:hint="eastAsia"/>
        </w:rPr>
      </w:pPr>
      <w:r>
        <w:rPr>
          <w:rFonts w:hint="eastAsia"/>
        </w:rPr>
        <w:t xml:space="preserve">　　为保障审计质量和独立性，金融企业应当严格落实定期轮换制度，按规定聘用年限轮换会计师事务所、审计项目主管合伙人和签字注册会计师。</w:t>
      </w:r>
    </w:p>
    <w:p w14:paraId="51B21ECF" w14:textId="77777777" w:rsidR="008B09BE" w:rsidRDefault="008B09BE" w:rsidP="00DB3F73">
      <w:pPr>
        <w:pStyle w:val="AD"/>
        <w:spacing w:line="276" w:lineRule="auto"/>
      </w:pPr>
    </w:p>
    <w:p w14:paraId="3954D3E0" w14:textId="77777777" w:rsidR="008B09BE" w:rsidRDefault="008B09BE" w:rsidP="00DB3F73">
      <w:pPr>
        <w:pStyle w:val="AD"/>
        <w:spacing w:line="276" w:lineRule="auto"/>
        <w:rPr>
          <w:rFonts w:hint="eastAsia"/>
        </w:rPr>
      </w:pPr>
      <w:r>
        <w:rPr>
          <w:rFonts w:hint="eastAsia"/>
        </w:rPr>
        <w:t xml:space="preserve">　　金融企业外部审计会计师事务所选聘工作由股东</w:t>
      </w:r>
      <w:r>
        <w:rPr>
          <w:rFonts w:hint="eastAsia"/>
        </w:rPr>
        <w:t>(</w:t>
      </w:r>
      <w:r>
        <w:rPr>
          <w:rFonts w:hint="eastAsia"/>
        </w:rPr>
        <w:t>大</w:t>
      </w:r>
      <w:r>
        <w:rPr>
          <w:rFonts w:hint="eastAsia"/>
        </w:rPr>
        <w:t>)</w:t>
      </w:r>
      <w:r>
        <w:rPr>
          <w:rFonts w:hint="eastAsia"/>
        </w:rPr>
        <w:t>会或董事会委托董事会审计委员会负责落实，具体事宜按照独立和不相容岗位分离原则，可由董事会审计委员会授权金融企业内部与财务报表编制职能无关的部门或机构办理；如金融企业未设立董事会审计委员会，可由内部与财务报表编制职能无关的部门或机构负责落实办理，确保外部审计独立性。对于未设股东</w:t>
      </w:r>
      <w:r>
        <w:rPr>
          <w:rFonts w:hint="eastAsia"/>
        </w:rPr>
        <w:t>(</w:t>
      </w:r>
      <w:r>
        <w:rPr>
          <w:rFonts w:hint="eastAsia"/>
        </w:rPr>
        <w:t>大</w:t>
      </w:r>
      <w:r>
        <w:rPr>
          <w:rFonts w:hint="eastAsia"/>
        </w:rPr>
        <w:t>)</w:t>
      </w:r>
      <w:r>
        <w:rPr>
          <w:rFonts w:hint="eastAsia"/>
        </w:rPr>
        <w:t>会或董事会的金融企业，会计师事务所选聘工作由履行出资人职责的机构决定或授权金融企业决定。</w:t>
      </w:r>
    </w:p>
    <w:p w14:paraId="065108B4" w14:textId="77777777" w:rsidR="008B09BE" w:rsidRDefault="008B09BE" w:rsidP="00DB3F73">
      <w:pPr>
        <w:pStyle w:val="AD"/>
        <w:spacing w:line="276" w:lineRule="auto"/>
      </w:pPr>
    </w:p>
    <w:p w14:paraId="6DC78A13" w14:textId="77777777" w:rsidR="008B09BE" w:rsidRDefault="008B09BE" w:rsidP="00DB3F73">
      <w:pPr>
        <w:pStyle w:val="AD"/>
        <w:spacing w:line="276" w:lineRule="auto"/>
        <w:rPr>
          <w:rFonts w:hint="eastAsia"/>
        </w:rPr>
      </w:pPr>
      <w:r>
        <w:rPr>
          <w:rFonts w:hint="eastAsia"/>
        </w:rPr>
        <w:t xml:space="preserve">　　会计师事务所选聘方式可按规定采用公开招标、邀请招标、竞争性谈判、竞争性磋商等。会计师事务所选聘评价标准应当突出质量因素，不以报价水平为决定因素，对于低价竞争、</w:t>
      </w:r>
      <w:proofErr w:type="gramStart"/>
      <w:r>
        <w:rPr>
          <w:rFonts w:hint="eastAsia"/>
        </w:rPr>
        <w:t>恶意压标压价</w:t>
      </w:r>
      <w:proofErr w:type="gramEnd"/>
      <w:r>
        <w:rPr>
          <w:rFonts w:hint="eastAsia"/>
        </w:rPr>
        <w:t>的会计师事务所，应在评标和计算平均报价时予以剔除。审计费用要根据市场公允水平、同业轮换普遍情况变化、审计工作量等因素合理确定。</w:t>
      </w:r>
    </w:p>
    <w:p w14:paraId="1B08ECF2" w14:textId="77777777" w:rsidR="008B09BE" w:rsidRDefault="008B09BE" w:rsidP="00DB3F73">
      <w:pPr>
        <w:pStyle w:val="AD"/>
        <w:spacing w:line="276" w:lineRule="auto"/>
      </w:pPr>
    </w:p>
    <w:p w14:paraId="4076C513" w14:textId="77777777" w:rsidR="008B09BE" w:rsidRDefault="008B09BE" w:rsidP="00DB3F73">
      <w:pPr>
        <w:pStyle w:val="AD"/>
        <w:spacing w:line="276" w:lineRule="auto"/>
        <w:rPr>
          <w:rFonts w:hint="eastAsia"/>
        </w:rPr>
      </w:pPr>
      <w:r>
        <w:rPr>
          <w:rFonts w:hint="eastAsia"/>
        </w:rPr>
        <w:t xml:space="preserve">　　四、财政部门要积极履行国有金融资本出资人职责，有效维护所有者权益</w:t>
      </w:r>
    </w:p>
    <w:p w14:paraId="2773367B" w14:textId="77777777" w:rsidR="008B09BE" w:rsidRDefault="008B09BE" w:rsidP="00DB3F73">
      <w:pPr>
        <w:pStyle w:val="AD"/>
        <w:spacing w:line="276" w:lineRule="auto"/>
      </w:pPr>
    </w:p>
    <w:p w14:paraId="09FDD897" w14:textId="77777777" w:rsidR="008B09BE" w:rsidRDefault="008B09BE" w:rsidP="00DB3F73">
      <w:pPr>
        <w:pStyle w:val="AD"/>
        <w:spacing w:line="276" w:lineRule="auto"/>
        <w:rPr>
          <w:rFonts w:hint="eastAsia"/>
        </w:rPr>
      </w:pPr>
      <w:r>
        <w:rPr>
          <w:rFonts w:hint="eastAsia"/>
        </w:rPr>
        <w:t xml:space="preserve">　　（十）各级财政部门要督促金融企业加强内部管理，促进金融治理规范有序。引导本级所属金融企业加强财务管理、健全风险管理和内控机制，完善法人治理结构，推动金融企业规范、有序、健康发展，促进国有金融资本保值增值。</w:t>
      </w:r>
    </w:p>
    <w:p w14:paraId="6A6ACC67" w14:textId="77777777" w:rsidR="008B09BE" w:rsidRDefault="008B09BE" w:rsidP="00DB3F73">
      <w:pPr>
        <w:pStyle w:val="AD"/>
        <w:spacing w:line="276" w:lineRule="auto"/>
      </w:pPr>
    </w:p>
    <w:p w14:paraId="1E308A6C" w14:textId="77777777" w:rsidR="008B09BE" w:rsidRDefault="008B09BE" w:rsidP="00DB3F73">
      <w:pPr>
        <w:pStyle w:val="AD"/>
        <w:spacing w:line="276" w:lineRule="auto"/>
        <w:rPr>
          <w:rFonts w:hint="eastAsia"/>
        </w:rPr>
      </w:pPr>
      <w:r>
        <w:rPr>
          <w:rFonts w:hint="eastAsia"/>
        </w:rPr>
        <w:t xml:space="preserve">　　（十一）各级财政部门要切实加强国有股权董事实质化管理，落实出资人监督机制。国有股权董事要在法律法规和有关操作指引规范下，行使权利、履行义务，有效发挥“参与决策、把握流程、执行监督、信息枢纽”作用，做到忠实勤勉，更好发挥对金融企业和管理</w:t>
      </w:r>
      <w:proofErr w:type="gramStart"/>
      <w:r>
        <w:rPr>
          <w:rFonts w:hint="eastAsia"/>
        </w:rPr>
        <w:t>层监督</w:t>
      </w:r>
      <w:proofErr w:type="gramEnd"/>
      <w:r>
        <w:rPr>
          <w:rFonts w:hint="eastAsia"/>
        </w:rPr>
        <w:t>制约作用。</w:t>
      </w:r>
    </w:p>
    <w:p w14:paraId="473B2681" w14:textId="77777777" w:rsidR="008B09BE" w:rsidRDefault="008B09BE" w:rsidP="00DB3F73">
      <w:pPr>
        <w:pStyle w:val="AD"/>
        <w:spacing w:line="276" w:lineRule="auto"/>
      </w:pPr>
    </w:p>
    <w:p w14:paraId="4340F177" w14:textId="77777777" w:rsidR="008B09BE" w:rsidRDefault="008B09BE" w:rsidP="00DB3F73">
      <w:pPr>
        <w:pStyle w:val="AD"/>
        <w:spacing w:line="276" w:lineRule="auto"/>
        <w:rPr>
          <w:rFonts w:hint="eastAsia"/>
        </w:rPr>
      </w:pPr>
      <w:r>
        <w:rPr>
          <w:rFonts w:hint="eastAsia"/>
        </w:rPr>
        <w:t xml:space="preserve">　　（十二）各级财政部门要压实会计师事务所独立审计责任，切实发挥独立审计的第三方监督作用。落实会计师事务所对金融企业股东负责机制，要求承担金融企业审计业务的会计师事务所独立客观地对金融企业财务状况、经营成果、现金流量发表审计意见，对于金融企业以通用目的为编制基础的财务报表出具适用于各利益相关方的审计报告。</w:t>
      </w:r>
    </w:p>
    <w:p w14:paraId="2D7C2A76" w14:textId="77777777" w:rsidR="008B09BE" w:rsidRDefault="008B09BE" w:rsidP="00DB3F73">
      <w:pPr>
        <w:pStyle w:val="AD"/>
        <w:spacing w:line="276" w:lineRule="auto"/>
      </w:pPr>
    </w:p>
    <w:p w14:paraId="0F75CE9B" w14:textId="77777777" w:rsidR="008B09BE" w:rsidRDefault="008B09BE" w:rsidP="00DB3F73">
      <w:pPr>
        <w:pStyle w:val="AD"/>
        <w:spacing w:line="276" w:lineRule="auto"/>
        <w:rPr>
          <w:rFonts w:hint="eastAsia"/>
        </w:rPr>
      </w:pPr>
      <w:r>
        <w:rPr>
          <w:rFonts w:hint="eastAsia"/>
        </w:rPr>
        <w:t xml:space="preserve">　　同时，各级财政部门要加强金融风险信息监测，建立健全预测预警机制，有效防范金融风险外溢，切实防止地方金融风险向中央转移集聚；及时开展财会监督检查，严肃查处违反财经纪律、财务造假、内部控制失效等问题，筑牢金融企业财务管理根基，有效维护财经纪律。</w:t>
      </w:r>
    </w:p>
    <w:p w14:paraId="3583CCB4" w14:textId="77777777" w:rsidR="008B09BE" w:rsidRDefault="008B09BE" w:rsidP="00DB3F73">
      <w:pPr>
        <w:pStyle w:val="AD"/>
        <w:spacing w:line="276" w:lineRule="auto"/>
      </w:pPr>
    </w:p>
    <w:p w14:paraId="1C50D84E" w14:textId="77777777" w:rsidR="008B09BE" w:rsidRDefault="008B09BE" w:rsidP="00DB3F73">
      <w:pPr>
        <w:pStyle w:val="AD"/>
        <w:spacing w:line="276" w:lineRule="auto"/>
        <w:rPr>
          <w:rFonts w:hint="eastAsia"/>
        </w:rPr>
      </w:pPr>
      <w:r>
        <w:rPr>
          <w:rFonts w:hint="eastAsia"/>
        </w:rPr>
        <w:t xml:space="preserve">　　五、其他</w:t>
      </w:r>
    </w:p>
    <w:p w14:paraId="6486E3AD" w14:textId="77777777" w:rsidR="008B09BE" w:rsidRDefault="008B09BE" w:rsidP="00DB3F73">
      <w:pPr>
        <w:pStyle w:val="AD"/>
        <w:spacing w:line="276" w:lineRule="auto"/>
      </w:pPr>
    </w:p>
    <w:p w14:paraId="25D95EA8" w14:textId="77777777" w:rsidR="008B09BE" w:rsidRDefault="008B09BE" w:rsidP="00DB3F73">
      <w:pPr>
        <w:pStyle w:val="AD"/>
        <w:spacing w:line="276" w:lineRule="auto"/>
        <w:rPr>
          <w:rFonts w:hint="eastAsia"/>
        </w:rPr>
      </w:pPr>
      <w:r>
        <w:rPr>
          <w:rFonts w:hint="eastAsia"/>
        </w:rPr>
        <w:t xml:space="preserve">　　（十三）适用范围。本通知适用于国有金融企业，包括在中华人民共和国境内</w:t>
      </w:r>
      <w:proofErr w:type="gramStart"/>
      <w:r>
        <w:rPr>
          <w:rFonts w:hint="eastAsia"/>
        </w:rPr>
        <w:t>外依法</w:t>
      </w:r>
      <w:proofErr w:type="gramEnd"/>
      <w:r>
        <w:rPr>
          <w:rFonts w:hint="eastAsia"/>
        </w:rPr>
        <w:t>设立的国有独资及国有控股金融企业</w:t>
      </w:r>
      <w:r>
        <w:rPr>
          <w:rFonts w:hint="eastAsia"/>
        </w:rPr>
        <w:t>(</w:t>
      </w:r>
      <w:r>
        <w:rPr>
          <w:rFonts w:hint="eastAsia"/>
        </w:rPr>
        <w:t>含国有实际控制金融企业</w:t>
      </w:r>
      <w:r>
        <w:rPr>
          <w:rFonts w:hint="eastAsia"/>
        </w:rPr>
        <w:t>)</w:t>
      </w:r>
      <w:r>
        <w:rPr>
          <w:rFonts w:hint="eastAsia"/>
        </w:rPr>
        <w:t>、主权财富基金、国有金融控股公司、国有金融投资运营机构，以及金融基础设施等实质性开展金融业务的其他企业或机构。其他金融企业可参照执行。</w:t>
      </w:r>
    </w:p>
    <w:p w14:paraId="1F1121B5" w14:textId="77777777" w:rsidR="008B09BE" w:rsidRDefault="008B09BE" w:rsidP="00DB3F73">
      <w:pPr>
        <w:pStyle w:val="AD"/>
        <w:spacing w:line="276" w:lineRule="auto"/>
      </w:pPr>
    </w:p>
    <w:p w14:paraId="6F46EBF3" w14:textId="77777777" w:rsidR="008B09BE" w:rsidRDefault="008B09BE" w:rsidP="00DB3F73">
      <w:pPr>
        <w:pStyle w:val="AD"/>
        <w:spacing w:line="276" w:lineRule="auto"/>
        <w:rPr>
          <w:rFonts w:hint="eastAsia"/>
        </w:rPr>
      </w:pPr>
      <w:r>
        <w:rPr>
          <w:rFonts w:hint="eastAsia"/>
        </w:rPr>
        <w:t xml:space="preserve">　　人民银行、银保监会、证监会请将本通知发送至所属金融基础设施等实质性开展金融业务的企业或机构执行。</w:t>
      </w:r>
    </w:p>
    <w:p w14:paraId="0ED6C942" w14:textId="77777777" w:rsidR="008B09BE" w:rsidRDefault="008B09BE" w:rsidP="00DB3F73">
      <w:pPr>
        <w:pStyle w:val="AD"/>
        <w:spacing w:line="276" w:lineRule="auto"/>
      </w:pPr>
    </w:p>
    <w:p w14:paraId="60F3A5BE" w14:textId="77777777" w:rsidR="008B09BE" w:rsidRDefault="008B09BE" w:rsidP="00DB3F73">
      <w:pPr>
        <w:pStyle w:val="AD"/>
        <w:spacing w:line="276" w:lineRule="auto"/>
        <w:rPr>
          <w:rFonts w:hint="eastAsia"/>
        </w:rPr>
      </w:pPr>
      <w:r>
        <w:rPr>
          <w:rFonts w:hint="eastAsia"/>
        </w:rPr>
        <w:t xml:space="preserve">　　各省、自治区、直辖市、计划单列市财政厅</w:t>
      </w:r>
      <w:r>
        <w:rPr>
          <w:rFonts w:hint="eastAsia"/>
        </w:rPr>
        <w:t>(</w:t>
      </w:r>
      <w:r>
        <w:rPr>
          <w:rFonts w:hint="eastAsia"/>
        </w:rPr>
        <w:t>局</w:t>
      </w:r>
      <w:r>
        <w:rPr>
          <w:rFonts w:hint="eastAsia"/>
        </w:rPr>
        <w:t>)</w:t>
      </w:r>
      <w:r>
        <w:rPr>
          <w:rFonts w:hint="eastAsia"/>
        </w:rPr>
        <w:t>及新疆生产建设兵团财政局请将本通知发送至辖内国有金融企业执行。</w:t>
      </w:r>
    </w:p>
    <w:p w14:paraId="7E2A4FC6" w14:textId="77777777" w:rsidR="008B09BE" w:rsidRDefault="008B09BE" w:rsidP="00DB3F73">
      <w:pPr>
        <w:pStyle w:val="AD"/>
        <w:spacing w:line="276" w:lineRule="auto"/>
      </w:pPr>
    </w:p>
    <w:p w14:paraId="38435265" w14:textId="77777777" w:rsidR="008B09BE" w:rsidRDefault="008B09BE" w:rsidP="00DB3F73">
      <w:pPr>
        <w:pStyle w:val="AD"/>
        <w:spacing w:line="276" w:lineRule="auto"/>
        <w:rPr>
          <w:rFonts w:hint="eastAsia"/>
        </w:rPr>
      </w:pPr>
      <w:r>
        <w:rPr>
          <w:rFonts w:hint="eastAsia"/>
        </w:rPr>
        <w:t xml:space="preserve">　　（十四）实施时间。本通知自印发之日起施行。</w:t>
      </w:r>
    </w:p>
    <w:p w14:paraId="09BCC316" w14:textId="77777777" w:rsidR="008B09BE" w:rsidRDefault="008B09BE" w:rsidP="00DB3F73">
      <w:pPr>
        <w:pStyle w:val="AD"/>
        <w:spacing w:line="276" w:lineRule="auto"/>
      </w:pPr>
    </w:p>
    <w:p w14:paraId="506FCEAF" w14:textId="06AF30E3" w:rsidR="008B09BE" w:rsidRDefault="008B09BE" w:rsidP="00DB3F73">
      <w:pPr>
        <w:pStyle w:val="AD"/>
        <w:spacing w:line="276" w:lineRule="auto"/>
        <w:jc w:val="right"/>
      </w:pPr>
      <w:r>
        <w:rPr>
          <w:rFonts w:hint="eastAsia"/>
        </w:rPr>
        <w:t xml:space="preserve">　　财　政　部</w:t>
      </w:r>
    </w:p>
    <w:p w14:paraId="61126A7C" w14:textId="78FB9B49" w:rsidR="00B15193" w:rsidRDefault="008B09BE" w:rsidP="00DB3F73">
      <w:pPr>
        <w:pStyle w:val="AD"/>
        <w:spacing w:line="276" w:lineRule="auto"/>
        <w:jc w:val="right"/>
      </w:pPr>
      <w:r>
        <w:rPr>
          <w:rFonts w:hint="eastAsia"/>
        </w:rPr>
        <w:t xml:space="preserve">　　</w:t>
      </w:r>
      <w:r>
        <w:rPr>
          <w:rFonts w:hint="eastAsia"/>
        </w:rPr>
        <w:t>2022</w:t>
      </w:r>
      <w:r>
        <w:rPr>
          <w:rFonts w:hint="eastAsia"/>
        </w:rPr>
        <w:t>年</w:t>
      </w:r>
      <w:r>
        <w:rPr>
          <w:rFonts w:hint="eastAsia"/>
        </w:rPr>
        <w:t>7</w:t>
      </w:r>
      <w:r>
        <w:rPr>
          <w:rFonts w:hint="eastAsia"/>
        </w:rPr>
        <w:t>月</w:t>
      </w:r>
      <w:r>
        <w:rPr>
          <w:rFonts w:hint="eastAsia"/>
        </w:rPr>
        <w:t>20</w:t>
      </w:r>
      <w:r>
        <w:rPr>
          <w:rFonts w:hint="eastAsia"/>
        </w:rPr>
        <w:t>日</w:t>
      </w:r>
    </w:p>
    <w:p w14:paraId="6781444A" w14:textId="6525C5FD" w:rsidR="008B09BE" w:rsidRDefault="008B09BE" w:rsidP="00DB3F73">
      <w:pPr>
        <w:pStyle w:val="AD"/>
        <w:spacing w:line="276" w:lineRule="auto"/>
      </w:pPr>
    </w:p>
    <w:p w14:paraId="75296575" w14:textId="50261E95" w:rsidR="008B09BE" w:rsidRDefault="008B09BE" w:rsidP="00DB3F73">
      <w:pPr>
        <w:pStyle w:val="AD"/>
        <w:spacing w:line="276" w:lineRule="auto"/>
      </w:pPr>
    </w:p>
    <w:p w14:paraId="61701551" w14:textId="5F6AEAE0" w:rsidR="008B09BE" w:rsidRDefault="008B09BE" w:rsidP="00DB3F73">
      <w:pPr>
        <w:pStyle w:val="AD"/>
        <w:spacing w:line="276" w:lineRule="auto"/>
      </w:pPr>
      <w:r>
        <w:rPr>
          <w:rFonts w:hint="eastAsia"/>
        </w:rPr>
        <w:t>信息来源：</w:t>
      </w:r>
      <w:hyperlink r:id="rId6" w:history="1">
        <w:r w:rsidRPr="000109CC">
          <w:rPr>
            <w:rStyle w:val="a9"/>
          </w:rPr>
          <w:t>http://jrs.mof.gov.cn/zhengcefabu/cwjx/202208/t20220802_3831380.htm</w:t>
        </w:r>
      </w:hyperlink>
    </w:p>
    <w:p w14:paraId="48D249CB" w14:textId="77777777" w:rsidR="008B09BE" w:rsidRPr="008B09BE" w:rsidRDefault="008B09BE" w:rsidP="00DB3F73">
      <w:pPr>
        <w:pStyle w:val="AD"/>
        <w:spacing w:line="276" w:lineRule="auto"/>
        <w:rPr>
          <w:rFonts w:hint="eastAsia"/>
        </w:rPr>
      </w:pPr>
    </w:p>
    <w:sectPr w:rsidR="008B09BE" w:rsidRPr="008B09BE"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4B68" w14:textId="77777777" w:rsidR="005F180F" w:rsidRDefault="005F180F" w:rsidP="00C20A6A">
      <w:pPr>
        <w:spacing w:line="240" w:lineRule="auto"/>
      </w:pPr>
      <w:r>
        <w:separator/>
      </w:r>
    </w:p>
  </w:endnote>
  <w:endnote w:type="continuationSeparator" w:id="0">
    <w:p w14:paraId="20DA156E" w14:textId="77777777" w:rsidR="005F180F" w:rsidRDefault="005F180F"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4757" w14:textId="77777777" w:rsidR="005F180F" w:rsidRDefault="005F180F" w:rsidP="00C20A6A">
      <w:pPr>
        <w:spacing w:line="240" w:lineRule="auto"/>
      </w:pPr>
      <w:r>
        <w:separator/>
      </w:r>
    </w:p>
  </w:footnote>
  <w:footnote w:type="continuationSeparator" w:id="0">
    <w:p w14:paraId="7F4A212A" w14:textId="77777777" w:rsidR="005F180F" w:rsidRDefault="005F180F"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3BFC"/>
    <w:rsid w:val="00043BFC"/>
    <w:rsid w:val="000F4C6A"/>
    <w:rsid w:val="00176A25"/>
    <w:rsid w:val="001C4C6F"/>
    <w:rsid w:val="003D27E2"/>
    <w:rsid w:val="005F180F"/>
    <w:rsid w:val="005F7C76"/>
    <w:rsid w:val="007D7BDB"/>
    <w:rsid w:val="008B09BE"/>
    <w:rsid w:val="00A548E7"/>
    <w:rsid w:val="00B15193"/>
    <w:rsid w:val="00B731F1"/>
    <w:rsid w:val="00C20A6A"/>
    <w:rsid w:val="00C22624"/>
    <w:rsid w:val="00D02718"/>
    <w:rsid w:val="00DB3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68C2"/>
  <w15:chartTrackingRefBased/>
  <w15:docId w15:val="{FB74851D-9084-4B85-B199-AEA9F916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8B09BE"/>
    <w:pPr>
      <w:ind w:leftChars="2500" w:left="100"/>
    </w:pPr>
  </w:style>
  <w:style w:type="character" w:customStyle="1" w:styleId="a8">
    <w:name w:val="日期 字符"/>
    <w:basedOn w:val="a0"/>
    <w:link w:val="a7"/>
    <w:uiPriority w:val="99"/>
    <w:semiHidden/>
    <w:rsid w:val="008B09BE"/>
    <w:rPr>
      <w:rFonts w:ascii="Arial" w:eastAsia="宋体" w:hAnsi="Arial"/>
      <w:sz w:val="22"/>
    </w:rPr>
  </w:style>
  <w:style w:type="character" w:styleId="a9">
    <w:name w:val="Hyperlink"/>
    <w:basedOn w:val="a0"/>
    <w:uiPriority w:val="99"/>
    <w:unhideWhenUsed/>
    <w:rsid w:val="008B09BE"/>
    <w:rPr>
      <w:color w:val="0000FF" w:themeColor="hyperlink"/>
      <w:u w:val="single"/>
    </w:rPr>
  </w:style>
  <w:style w:type="character" w:styleId="aa">
    <w:name w:val="Unresolved Mention"/>
    <w:basedOn w:val="a0"/>
    <w:uiPriority w:val="99"/>
    <w:semiHidden/>
    <w:unhideWhenUsed/>
    <w:rsid w:val="008B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rs.mof.gov.cn/zhengcefabu/cwjx/202208/t20220802_3831380.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XSH</dc:creator>
  <cp:keywords/>
  <dc:description/>
  <cp:lastModifiedBy>XSH</cp:lastModifiedBy>
  <cp:revision>3</cp:revision>
  <dcterms:created xsi:type="dcterms:W3CDTF">2022-08-04T13:12:00Z</dcterms:created>
  <dcterms:modified xsi:type="dcterms:W3CDTF">2022-08-04T13:13:00Z</dcterms:modified>
</cp:coreProperties>
</file>