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9B6C" w14:textId="0B007F54" w:rsidR="00407CB3" w:rsidRPr="00407CB3" w:rsidRDefault="00407CB3" w:rsidP="00407CB3">
      <w:pPr>
        <w:pStyle w:val="AD"/>
        <w:spacing w:line="276" w:lineRule="auto"/>
        <w:jc w:val="center"/>
        <w:rPr>
          <w:b/>
          <w:bCs/>
          <w:color w:val="E36C0A" w:themeColor="accent6" w:themeShade="BF"/>
          <w:sz w:val="32"/>
          <w:szCs w:val="32"/>
        </w:rPr>
      </w:pPr>
      <w:r w:rsidRPr="00407CB3">
        <w:rPr>
          <w:rFonts w:hint="eastAsia"/>
          <w:b/>
          <w:bCs/>
          <w:color w:val="E36C0A" w:themeColor="accent6" w:themeShade="BF"/>
          <w:sz w:val="32"/>
          <w:szCs w:val="32"/>
        </w:rPr>
        <w:t>关于试点委托开展部分经营者集中案件反垄断审查的公告</w:t>
      </w:r>
    </w:p>
    <w:p w14:paraId="4AF8B54F" w14:textId="2D215FB7" w:rsidR="00407CB3" w:rsidRPr="00407CB3" w:rsidRDefault="00407CB3" w:rsidP="00407CB3">
      <w:pPr>
        <w:pStyle w:val="AD"/>
        <w:spacing w:line="276" w:lineRule="auto"/>
        <w:jc w:val="center"/>
      </w:pPr>
      <w:r w:rsidRPr="00407CB3">
        <w:rPr>
          <w:rFonts w:hint="eastAsia"/>
        </w:rPr>
        <w:t>2022</w:t>
      </w:r>
      <w:r w:rsidRPr="00407CB3">
        <w:rPr>
          <w:rFonts w:hint="eastAsia"/>
        </w:rPr>
        <w:t>年第</w:t>
      </w:r>
      <w:r w:rsidRPr="00407CB3">
        <w:rPr>
          <w:rFonts w:hint="eastAsia"/>
        </w:rPr>
        <w:t>23</w:t>
      </w:r>
      <w:r w:rsidRPr="00407CB3">
        <w:rPr>
          <w:rFonts w:hint="eastAsia"/>
        </w:rPr>
        <w:t>号</w:t>
      </w:r>
    </w:p>
    <w:p w14:paraId="42508086" w14:textId="7461AA85" w:rsidR="00407CB3" w:rsidRPr="00407CB3" w:rsidRDefault="00407CB3" w:rsidP="00407CB3">
      <w:pPr>
        <w:pStyle w:val="AD"/>
        <w:spacing w:line="276" w:lineRule="auto"/>
        <w:jc w:val="center"/>
      </w:pPr>
    </w:p>
    <w:p w14:paraId="255F72F1" w14:textId="2DA22904" w:rsidR="00407CB3" w:rsidRPr="00407CB3" w:rsidRDefault="00407CB3" w:rsidP="00407CB3">
      <w:pPr>
        <w:pStyle w:val="AD"/>
        <w:spacing w:line="276" w:lineRule="auto"/>
      </w:pPr>
      <w:r w:rsidRPr="00407CB3">
        <w:rPr>
          <w:rFonts w:hint="eastAsia"/>
        </w:rPr>
        <w:t xml:space="preserve">　　为深入推进公平竞争政策实施，进一步提升经营者集中反垄断审查效能，依照《中华人民共和国反垄断法》（以下简称《反垄断法》）、《中华人民共和国行政许可法》、《国务院关于经营者集中申报标准的规定》、《经营者集中审查暂行规定》等法律、行政法规、规章，现就市场监管总局试点委托北京、上海、广东、重庆、陕西等</w:t>
      </w:r>
      <w:r w:rsidRPr="00407CB3">
        <w:rPr>
          <w:rFonts w:hint="eastAsia"/>
        </w:rPr>
        <w:t>5</w:t>
      </w:r>
      <w:r w:rsidRPr="00407CB3">
        <w:rPr>
          <w:rFonts w:hint="eastAsia"/>
        </w:rPr>
        <w:t>个省（直辖市）市场监督管理部门（以下统称试点省级市场监管部门）实施部分经营者集中案件反垄断审查事项公告如下：</w:t>
      </w:r>
    </w:p>
    <w:p w14:paraId="0352598A" w14:textId="77777777" w:rsidR="00C71A5B" w:rsidRDefault="00C71A5B" w:rsidP="00407CB3">
      <w:pPr>
        <w:pStyle w:val="AD"/>
        <w:spacing w:line="276" w:lineRule="auto"/>
      </w:pPr>
    </w:p>
    <w:p w14:paraId="59C94E5B" w14:textId="4EE6B248" w:rsidR="00407CB3" w:rsidRPr="00407CB3" w:rsidRDefault="00407CB3" w:rsidP="00407CB3">
      <w:pPr>
        <w:pStyle w:val="AD"/>
        <w:spacing w:line="276" w:lineRule="auto"/>
      </w:pPr>
      <w:r w:rsidRPr="00407CB3">
        <w:rPr>
          <w:rFonts w:hint="eastAsia"/>
        </w:rPr>
        <w:t xml:space="preserve">　　</w:t>
      </w:r>
      <w:r w:rsidRPr="00407CB3">
        <w:rPr>
          <w:rFonts w:hint="eastAsia"/>
          <w:b/>
          <w:bCs/>
        </w:rPr>
        <w:t>一、委托事项</w:t>
      </w:r>
    </w:p>
    <w:p w14:paraId="1ACFEBDA" w14:textId="10B291C9" w:rsidR="00407CB3" w:rsidRPr="00407CB3" w:rsidRDefault="00407CB3" w:rsidP="00407CB3">
      <w:pPr>
        <w:pStyle w:val="AD"/>
        <w:spacing w:line="276" w:lineRule="auto"/>
      </w:pPr>
      <w:r w:rsidRPr="00407CB3">
        <w:rPr>
          <w:rFonts w:hint="eastAsia"/>
        </w:rPr>
        <w:t xml:space="preserve">　　试点期间，市场监管总局将根据工作需要，将部分符合下列标准之一的适用经营者集中简易程序的案件（以下简称简易案件）委托试点省级市场监管部门负责审查：</w:t>
      </w:r>
    </w:p>
    <w:p w14:paraId="3597C829" w14:textId="2D8F7FF2" w:rsidR="00407CB3" w:rsidRPr="00407CB3" w:rsidRDefault="00407CB3" w:rsidP="00407CB3">
      <w:pPr>
        <w:pStyle w:val="AD"/>
        <w:spacing w:line="276" w:lineRule="auto"/>
      </w:pPr>
      <w:r w:rsidRPr="00407CB3">
        <w:rPr>
          <w:rFonts w:hint="eastAsia"/>
        </w:rPr>
        <w:t xml:space="preserve">　　（一）至少一个申报人住所地在该部门受委托联系的相关区域（以下简称相关区域）的；</w:t>
      </w:r>
    </w:p>
    <w:p w14:paraId="1AE6AF0E" w14:textId="752C3C08" w:rsidR="00407CB3" w:rsidRPr="00407CB3" w:rsidRDefault="00407CB3" w:rsidP="00407CB3">
      <w:pPr>
        <w:pStyle w:val="AD"/>
        <w:spacing w:line="276" w:lineRule="auto"/>
      </w:pPr>
      <w:r w:rsidRPr="00407CB3">
        <w:rPr>
          <w:rFonts w:hint="eastAsia"/>
        </w:rPr>
        <w:t xml:space="preserve">　　（二）经营者通过收购股权、资产或者合同等其他方式取得其他经营者的控制权，其他经营者的住所地在相关区域的；</w:t>
      </w:r>
    </w:p>
    <w:p w14:paraId="1ED65D9E" w14:textId="3D07E5EF" w:rsidR="00407CB3" w:rsidRPr="00407CB3" w:rsidRDefault="00407CB3" w:rsidP="00407CB3">
      <w:pPr>
        <w:pStyle w:val="AD"/>
        <w:spacing w:line="276" w:lineRule="auto"/>
      </w:pPr>
      <w:r w:rsidRPr="00407CB3">
        <w:rPr>
          <w:rFonts w:hint="eastAsia"/>
        </w:rPr>
        <w:t xml:space="preserve">　　（三）经营者新设合营企业，合营企业住所地在相关区域的；</w:t>
      </w:r>
    </w:p>
    <w:p w14:paraId="20D22C59" w14:textId="730CD25F" w:rsidR="00407CB3" w:rsidRPr="00407CB3" w:rsidRDefault="00407CB3" w:rsidP="00407CB3">
      <w:pPr>
        <w:pStyle w:val="AD"/>
        <w:spacing w:line="276" w:lineRule="auto"/>
      </w:pPr>
      <w:r w:rsidRPr="00407CB3">
        <w:rPr>
          <w:rFonts w:hint="eastAsia"/>
        </w:rPr>
        <w:t xml:space="preserve">　　（四）经营者集中相关地域市场为区域性市场，且</w:t>
      </w:r>
      <w:proofErr w:type="gramStart"/>
      <w:r w:rsidRPr="00407CB3">
        <w:rPr>
          <w:rFonts w:hint="eastAsia"/>
        </w:rPr>
        <w:t>该相关</w:t>
      </w:r>
      <w:proofErr w:type="gramEnd"/>
      <w:r w:rsidRPr="00407CB3">
        <w:rPr>
          <w:rFonts w:hint="eastAsia"/>
        </w:rPr>
        <w:t>地域市场全部或主要位于相关区域的；</w:t>
      </w:r>
    </w:p>
    <w:p w14:paraId="39FC23C8" w14:textId="4DEF6A77" w:rsidR="00407CB3" w:rsidRPr="00407CB3" w:rsidRDefault="00407CB3" w:rsidP="00407CB3">
      <w:pPr>
        <w:pStyle w:val="AD"/>
        <w:spacing w:line="276" w:lineRule="auto"/>
      </w:pPr>
      <w:r w:rsidRPr="00407CB3">
        <w:rPr>
          <w:rFonts w:hint="eastAsia"/>
        </w:rPr>
        <w:t xml:space="preserve">　　（五）市场监管总局委托的其他案件。</w:t>
      </w:r>
    </w:p>
    <w:p w14:paraId="18F57425" w14:textId="5D8F07C2" w:rsidR="00407CB3" w:rsidRPr="00407CB3" w:rsidRDefault="00407CB3" w:rsidP="00407CB3">
      <w:pPr>
        <w:pStyle w:val="AD"/>
        <w:spacing w:line="276" w:lineRule="auto"/>
      </w:pPr>
      <w:r w:rsidRPr="00407CB3">
        <w:rPr>
          <w:noProof/>
        </w:rPr>
        <w:drawing>
          <wp:inline distT="0" distB="0" distL="0" distR="0" wp14:anchorId="6F788003" wp14:editId="009B36B9">
            <wp:extent cx="5759450" cy="3378835"/>
            <wp:effectExtent l="0" t="0" r="0" b="0"/>
            <wp:docPr id="1" name="图片 1" descr="文本, 表格,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 表格, 电子邮件&#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378835"/>
                    </a:xfrm>
                    <a:prstGeom prst="rect">
                      <a:avLst/>
                    </a:prstGeom>
                    <a:noFill/>
                    <a:ln>
                      <a:noFill/>
                    </a:ln>
                  </pic:spPr>
                </pic:pic>
              </a:graphicData>
            </a:graphic>
          </wp:inline>
        </w:drawing>
      </w:r>
    </w:p>
    <w:p w14:paraId="37A5C041" w14:textId="77777777" w:rsidR="00C71A5B" w:rsidRDefault="00C71A5B" w:rsidP="00407CB3">
      <w:pPr>
        <w:pStyle w:val="AD"/>
        <w:spacing w:line="276" w:lineRule="auto"/>
      </w:pPr>
    </w:p>
    <w:p w14:paraId="1B7563AB" w14:textId="0941AD65" w:rsidR="00407CB3" w:rsidRPr="00407CB3" w:rsidRDefault="00407CB3" w:rsidP="00407CB3">
      <w:pPr>
        <w:pStyle w:val="AD"/>
        <w:spacing w:line="276" w:lineRule="auto"/>
      </w:pPr>
      <w:r w:rsidRPr="00407CB3">
        <w:rPr>
          <w:rFonts w:hint="eastAsia"/>
        </w:rPr>
        <w:t xml:space="preserve">　　</w:t>
      </w:r>
      <w:r w:rsidRPr="00407CB3">
        <w:rPr>
          <w:rFonts w:hint="eastAsia"/>
          <w:b/>
          <w:bCs/>
        </w:rPr>
        <w:t>二、委托审查流程</w:t>
      </w:r>
    </w:p>
    <w:p w14:paraId="017D61C1" w14:textId="0D373C86" w:rsidR="00407CB3" w:rsidRPr="00407CB3" w:rsidRDefault="00407CB3" w:rsidP="00407CB3">
      <w:pPr>
        <w:pStyle w:val="AD"/>
        <w:spacing w:line="276" w:lineRule="auto"/>
      </w:pPr>
      <w:r w:rsidRPr="00407CB3">
        <w:rPr>
          <w:rFonts w:hint="eastAsia"/>
        </w:rPr>
        <w:t xml:space="preserve">　　（一）申报和商谈。符合委托条件的案件，申报人向市场监管总局申报。需申报前商谈的，申报人可以向市场监管总局申请商谈，也可以向试点省级市场监管部门申请商谈。</w:t>
      </w:r>
    </w:p>
    <w:p w14:paraId="421BD94B" w14:textId="1B198CAA" w:rsidR="00407CB3" w:rsidRPr="00407CB3" w:rsidRDefault="00407CB3" w:rsidP="00407CB3">
      <w:pPr>
        <w:pStyle w:val="AD"/>
        <w:spacing w:line="276" w:lineRule="auto"/>
      </w:pPr>
      <w:r w:rsidRPr="00407CB3">
        <w:rPr>
          <w:rFonts w:hint="eastAsia"/>
        </w:rPr>
        <w:lastRenderedPageBreak/>
        <w:t xml:space="preserve">　　（二）材料审核和立案。对于委托试点省级市场监管部门审查的案件，市场监管总局将申报材料</w:t>
      </w:r>
      <w:proofErr w:type="gramStart"/>
      <w:r w:rsidRPr="00407CB3">
        <w:rPr>
          <w:rFonts w:hint="eastAsia"/>
        </w:rPr>
        <w:t>转试点</w:t>
      </w:r>
      <w:proofErr w:type="gramEnd"/>
      <w:r w:rsidRPr="00407CB3">
        <w:rPr>
          <w:rFonts w:hint="eastAsia"/>
        </w:rPr>
        <w:t>省级市场监管部门办理并及时告知申报人委托事宜，试点省级市场监管部门应当及时联系申报人。试点省级市场监管部门负责案件材料审核，于收到符合《反垄断法》规定的文件、资料之日立案，书面通知申报人，并于立案当日在其官方网站公示立案信息，市场监管总局及时在官方网站发布立案链接。</w:t>
      </w:r>
    </w:p>
    <w:p w14:paraId="416BE438" w14:textId="3E362123" w:rsidR="00407CB3" w:rsidRPr="00407CB3" w:rsidRDefault="00407CB3" w:rsidP="00407CB3">
      <w:pPr>
        <w:pStyle w:val="AD"/>
        <w:spacing w:line="276" w:lineRule="auto"/>
      </w:pPr>
      <w:r w:rsidRPr="00407CB3">
        <w:rPr>
          <w:rFonts w:hint="eastAsia"/>
        </w:rPr>
        <w:t xml:space="preserve">　　（三）案件审查。试点省级市场监管部门负责被委托案件审查，并向市场监管总局报送审查报告，提出审查意见。</w:t>
      </w:r>
    </w:p>
    <w:p w14:paraId="631F12B5" w14:textId="3DA20B37" w:rsidR="00407CB3" w:rsidRPr="00407CB3" w:rsidRDefault="00407CB3" w:rsidP="00407CB3">
      <w:pPr>
        <w:pStyle w:val="AD"/>
        <w:spacing w:line="276" w:lineRule="auto"/>
      </w:pPr>
      <w:r w:rsidRPr="00407CB3">
        <w:rPr>
          <w:rFonts w:hint="eastAsia"/>
        </w:rPr>
        <w:t xml:space="preserve">　　（四）审查决定。市场监管总局在审核试点省级市场监管部门审查报告和审查意见基础上</w:t>
      </w:r>
      <w:proofErr w:type="gramStart"/>
      <w:r w:rsidRPr="00407CB3">
        <w:rPr>
          <w:rFonts w:hint="eastAsia"/>
        </w:rPr>
        <w:t>作出</w:t>
      </w:r>
      <w:proofErr w:type="gramEnd"/>
      <w:r w:rsidRPr="00407CB3">
        <w:rPr>
          <w:rFonts w:hint="eastAsia"/>
        </w:rPr>
        <w:t>审查决定，并定期在官方网站公示无条件批准的经营者集中案件。</w:t>
      </w:r>
    </w:p>
    <w:p w14:paraId="3A1D85D7" w14:textId="0C950C1C" w:rsidR="00407CB3" w:rsidRPr="00407CB3" w:rsidRDefault="00407CB3" w:rsidP="00407CB3">
      <w:pPr>
        <w:pStyle w:val="AD"/>
        <w:spacing w:line="276" w:lineRule="auto"/>
      </w:pPr>
      <w:r w:rsidRPr="00407CB3">
        <w:rPr>
          <w:rFonts w:hint="eastAsia"/>
        </w:rPr>
        <w:t xml:space="preserve">　　（五）终止委托。符合下列情形之一的委托案件，试点省级市场监管部门应当及时报市场监管总局，并将相关材料移送市场监管总局，市场监管总局将及时终止委托：</w:t>
      </w:r>
    </w:p>
    <w:p w14:paraId="19A46C03" w14:textId="4CFE3A74" w:rsidR="00407CB3" w:rsidRPr="00407CB3" w:rsidRDefault="00407CB3" w:rsidP="00407CB3">
      <w:pPr>
        <w:pStyle w:val="AD"/>
        <w:spacing w:line="276" w:lineRule="auto"/>
      </w:pPr>
      <w:r w:rsidRPr="00407CB3">
        <w:rPr>
          <w:rFonts w:hint="eastAsia"/>
        </w:rPr>
        <w:t xml:space="preserve">　　</w:t>
      </w:r>
      <w:r w:rsidRPr="00407CB3">
        <w:rPr>
          <w:rFonts w:hint="eastAsia"/>
        </w:rPr>
        <w:t xml:space="preserve">1. </w:t>
      </w:r>
      <w:r w:rsidRPr="00407CB3">
        <w:rPr>
          <w:rFonts w:hint="eastAsia"/>
        </w:rPr>
        <w:t>被委托的案件不符合简易案件申报标准的；</w:t>
      </w:r>
    </w:p>
    <w:p w14:paraId="53D07FF0" w14:textId="50155B64" w:rsidR="00407CB3" w:rsidRPr="00407CB3" w:rsidRDefault="00407CB3" w:rsidP="00407CB3">
      <w:pPr>
        <w:pStyle w:val="AD"/>
        <w:spacing w:line="276" w:lineRule="auto"/>
      </w:pPr>
      <w:r w:rsidRPr="00407CB3">
        <w:rPr>
          <w:rFonts w:hint="eastAsia"/>
        </w:rPr>
        <w:t xml:space="preserve">　　</w:t>
      </w:r>
      <w:r w:rsidRPr="00407CB3">
        <w:rPr>
          <w:rFonts w:hint="eastAsia"/>
        </w:rPr>
        <w:t xml:space="preserve">2. </w:t>
      </w:r>
      <w:r w:rsidRPr="00407CB3">
        <w:rPr>
          <w:rFonts w:hint="eastAsia"/>
        </w:rPr>
        <w:t>交易在申报前或在审查决定</w:t>
      </w:r>
      <w:proofErr w:type="gramStart"/>
      <w:r w:rsidRPr="00407CB3">
        <w:rPr>
          <w:rFonts w:hint="eastAsia"/>
        </w:rPr>
        <w:t>作出</w:t>
      </w:r>
      <w:proofErr w:type="gramEnd"/>
      <w:r w:rsidRPr="00407CB3">
        <w:rPr>
          <w:rFonts w:hint="eastAsia"/>
        </w:rPr>
        <w:t>前已经实施，属于违法实施经营者集中的；</w:t>
      </w:r>
    </w:p>
    <w:p w14:paraId="00C8F3A8" w14:textId="5E5FF0B4" w:rsidR="00407CB3" w:rsidRPr="00407CB3" w:rsidRDefault="00407CB3" w:rsidP="00407CB3">
      <w:pPr>
        <w:pStyle w:val="AD"/>
        <w:spacing w:line="276" w:lineRule="auto"/>
      </w:pPr>
      <w:r w:rsidRPr="00407CB3">
        <w:rPr>
          <w:rFonts w:hint="eastAsia"/>
        </w:rPr>
        <w:t xml:space="preserve">　　</w:t>
      </w:r>
      <w:r w:rsidRPr="00407CB3">
        <w:rPr>
          <w:rFonts w:hint="eastAsia"/>
        </w:rPr>
        <w:t xml:space="preserve">3. </w:t>
      </w:r>
      <w:r w:rsidRPr="00407CB3">
        <w:rPr>
          <w:rFonts w:hint="eastAsia"/>
        </w:rPr>
        <w:t>被委托的案件未达申报标准，且当事方申请撤回申报的；</w:t>
      </w:r>
    </w:p>
    <w:p w14:paraId="383822DD" w14:textId="21A22061" w:rsidR="00407CB3" w:rsidRPr="00407CB3" w:rsidRDefault="00407CB3" w:rsidP="00407CB3">
      <w:pPr>
        <w:pStyle w:val="AD"/>
        <w:spacing w:line="276" w:lineRule="auto"/>
      </w:pPr>
      <w:r w:rsidRPr="00407CB3">
        <w:rPr>
          <w:rFonts w:hint="eastAsia"/>
        </w:rPr>
        <w:t xml:space="preserve">　　</w:t>
      </w:r>
      <w:r w:rsidRPr="00407CB3">
        <w:rPr>
          <w:rFonts w:hint="eastAsia"/>
        </w:rPr>
        <w:t xml:space="preserve">4. </w:t>
      </w:r>
      <w:r w:rsidRPr="00407CB3">
        <w:rPr>
          <w:rFonts w:hint="eastAsia"/>
        </w:rPr>
        <w:t>交易已经取消或交易发生重大变化，当事方申请撤回申报的；</w:t>
      </w:r>
    </w:p>
    <w:p w14:paraId="5C9E3FEB" w14:textId="63C0EDCC" w:rsidR="00407CB3" w:rsidRPr="00407CB3" w:rsidRDefault="00407CB3" w:rsidP="00407CB3">
      <w:pPr>
        <w:pStyle w:val="AD"/>
        <w:spacing w:line="276" w:lineRule="auto"/>
      </w:pPr>
      <w:r w:rsidRPr="00407CB3">
        <w:rPr>
          <w:rFonts w:hint="eastAsia"/>
        </w:rPr>
        <w:t xml:space="preserve">　　</w:t>
      </w:r>
      <w:r w:rsidRPr="00407CB3">
        <w:rPr>
          <w:rFonts w:hint="eastAsia"/>
        </w:rPr>
        <w:t xml:space="preserve">5. </w:t>
      </w:r>
      <w:r w:rsidRPr="00407CB3">
        <w:rPr>
          <w:rFonts w:hint="eastAsia"/>
        </w:rPr>
        <w:t>市场监管总局认为其他应当终止委托的情形。</w:t>
      </w:r>
    </w:p>
    <w:p w14:paraId="3E06F230" w14:textId="7B6F8CAA" w:rsidR="00407CB3" w:rsidRPr="00407CB3" w:rsidRDefault="00407CB3" w:rsidP="00407CB3">
      <w:pPr>
        <w:pStyle w:val="AD"/>
        <w:spacing w:line="276" w:lineRule="auto"/>
      </w:pPr>
      <w:r w:rsidRPr="00407CB3">
        <w:rPr>
          <w:rFonts w:hint="eastAsia"/>
        </w:rPr>
        <w:t xml:space="preserve">　　（六）文书送达。试点省级市场监管部门负责将审查决定书等审查文书送达申报人。审查决定书加盖市场监管总局反垄断专用印章，其他审查文书</w:t>
      </w:r>
      <w:proofErr w:type="gramStart"/>
      <w:r w:rsidRPr="00407CB3">
        <w:rPr>
          <w:rFonts w:hint="eastAsia"/>
        </w:rPr>
        <w:t>加盖试点</w:t>
      </w:r>
      <w:proofErr w:type="gramEnd"/>
      <w:r w:rsidRPr="00407CB3">
        <w:rPr>
          <w:rFonts w:hint="eastAsia"/>
        </w:rPr>
        <w:t>省级市场监管部门印章，并在文书中注明“受国家市场监督管理总局委托”。</w:t>
      </w:r>
    </w:p>
    <w:p w14:paraId="2B85F0C8" w14:textId="017442A2" w:rsidR="00407CB3" w:rsidRPr="00407CB3" w:rsidRDefault="00407CB3" w:rsidP="00407CB3">
      <w:pPr>
        <w:pStyle w:val="AD"/>
        <w:spacing w:line="276" w:lineRule="auto"/>
      </w:pPr>
      <w:r w:rsidRPr="00407CB3">
        <w:rPr>
          <w:rFonts w:hint="eastAsia"/>
        </w:rPr>
        <w:t xml:space="preserve">　　市场监管总局将加强对试点省级市场监管部门的指导，试点省级市场监管部门将按照市场监管总局制定的统一规则开展审查工作。</w:t>
      </w:r>
    </w:p>
    <w:p w14:paraId="22FC8218" w14:textId="77777777" w:rsidR="00C71A5B" w:rsidRDefault="00C71A5B" w:rsidP="00407CB3">
      <w:pPr>
        <w:pStyle w:val="AD"/>
        <w:spacing w:line="276" w:lineRule="auto"/>
      </w:pPr>
    </w:p>
    <w:p w14:paraId="4C72FE39" w14:textId="2D6551B6" w:rsidR="00407CB3" w:rsidRPr="00407CB3" w:rsidRDefault="00407CB3" w:rsidP="00407CB3">
      <w:pPr>
        <w:pStyle w:val="AD"/>
        <w:spacing w:line="276" w:lineRule="auto"/>
      </w:pPr>
      <w:r w:rsidRPr="00407CB3">
        <w:rPr>
          <w:rFonts w:hint="eastAsia"/>
        </w:rPr>
        <w:t xml:space="preserve">　　</w:t>
      </w:r>
      <w:r w:rsidRPr="00407CB3">
        <w:rPr>
          <w:rFonts w:hint="eastAsia"/>
          <w:b/>
          <w:bCs/>
        </w:rPr>
        <w:t>三、异议受理</w:t>
      </w:r>
    </w:p>
    <w:p w14:paraId="728FBB2D" w14:textId="2B38D11B" w:rsidR="00407CB3" w:rsidRPr="00407CB3" w:rsidRDefault="00407CB3" w:rsidP="00407CB3">
      <w:pPr>
        <w:pStyle w:val="AD"/>
        <w:spacing w:line="276" w:lineRule="auto"/>
      </w:pPr>
      <w:r w:rsidRPr="00407CB3">
        <w:rPr>
          <w:rFonts w:hint="eastAsia"/>
        </w:rPr>
        <w:t xml:space="preserve">　　市场监管总局统一受理经营者集中简易案件公示期内第三方异议，受理邮箱为：</w:t>
      </w:r>
      <w:hyperlink r:id="rId7" w:history="1">
        <w:r w:rsidRPr="00407CB3">
          <w:rPr>
            <w:rStyle w:val="a7"/>
            <w:rFonts w:hint="eastAsia"/>
          </w:rPr>
          <w:t>jyzjz@samr.gov.cn</w:t>
        </w:r>
        <w:r w:rsidRPr="00407CB3">
          <w:rPr>
            <w:rStyle w:val="a7"/>
            <w:rFonts w:hint="eastAsia"/>
          </w:rPr>
          <w:t>。</w:t>
        </w:r>
      </w:hyperlink>
    </w:p>
    <w:p w14:paraId="40192017" w14:textId="77777777" w:rsidR="00C71A5B" w:rsidRDefault="00C71A5B" w:rsidP="00407CB3">
      <w:pPr>
        <w:pStyle w:val="AD"/>
        <w:spacing w:line="276" w:lineRule="auto"/>
      </w:pPr>
    </w:p>
    <w:p w14:paraId="0F0CB1D3" w14:textId="4C17976D" w:rsidR="00407CB3" w:rsidRPr="00407CB3" w:rsidRDefault="00407CB3" w:rsidP="00407CB3">
      <w:pPr>
        <w:pStyle w:val="AD"/>
        <w:spacing w:line="276" w:lineRule="auto"/>
      </w:pPr>
      <w:r w:rsidRPr="00407CB3">
        <w:rPr>
          <w:rFonts w:hint="eastAsia"/>
        </w:rPr>
        <w:t xml:space="preserve">　　</w:t>
      </w:r>
      <w:r w:rsidRPr="00407CB3">
        <w:rPr>
          <w:rFonts w:hint="eastAsia"/>
          <w:b/>
          <w:bCs/>
        </w:rPr>
        <w:t>四、试点期限</w:t>
      </w:r>
    </w:p>
    <w:p w14:paraId="750EA485" w14:textId="3F8F85C0" w:rsidR="00407CB3" w:rsidRPr="00407CB3" w:rsidRDefault="00407CB3" w:rsidP="00407CB3">
      <w:pPr>
        <w:pStyle w:val="AD"/>
        <w:spacing w:line="276" w:lineRule="auto"/>
      </w:pPr>
      <w:r w:rsidRPr="00407CB3">
        <w:rPr>
          <w:rFonts w:hint="eastAsia"/>
        </w:rPr>
        <w:t xml:space="preserve">　　试点期限为</w:t>
      </w:r>
      <w:r w:rsidRPr="00407CB3">
        <w:rPr>
          <w:rFonts w:hint="eastAsia"/>
        </w:rPr>
        <w:t>2022</w:t>
      </w:r>
      <w:r w:rsidRPr="00407CB3">
        <w:rPr>
          <w:rFonts w:hint="eastAsia"/>
        </w:rPr>
        <w:t>年</w:t>
      </w:r>
      <w:r w:rsidRPr="00407CB3">
        <w:rPr>
          <w:rFonts w:hint="eastAsia"/>
        </w:rPr>
        <w:t>8</w:t>
      </w:r>
      <w:r w:rsidRPr="00407CB3">
        <w:rPr>
          <w:rFonts w:hint="eastAsia"/>
        </w:rPr>
        <w:t>月</w:t>
      </w:r>
      <w:r w:rsidRPr="00407CB3">
        <w:rPr>
          <w:rFonts w:hint="eastAsia"/>
        </w:rPr>
        <w:t>1</w:t>
      </w:r>
      <w:r w:rsidRPr="00407CB3">
        <w:rPr>
          <w:rFonts w:hint="eastAsia"/>
        </w:rPr>
        <w:t>日至</w:t>
      </w:r>
      <w:r w:rsidRPr="00407CB3">
        <w:rPr>
          <w:rFonts w:hint="eastAsia"/>
        </w:rPr>
        <w:t>2025</w:t>
      </w:r>
      <w:r w:rsidRPr="00407CB3">
        <w:rPr>
          <w:rFonts w:hint="eastAsia"/>
        </w:rPr>
        <w:t>年</w:t>
      </w:r>
      <w:r w:rsidRPr="00407CB3">
        <w:rPr>
          <w:rFonts w:hint="eastAsia"/>
        </w:rPr>
        <w:t>7</w:t>
      </w:r>
      <w:r w:rsidRPr="00407CB3">
        <w:rPr>
          <w:rFonts w:hint="eastAsia"/>
        </w:rPr>
        <w:t>月</w:t>
      </w:r>
      <w:r w:rsidRPr="00407CB3">
        <w:rPr>
          <w:rFonts w:hint="eastAsia"/>
        </w:rPr>
        <w:t>31</w:t>
      </w:r>
      <w:r w:rsidRPr="00407CB3">
        <w:rPr>
          <w:rFonts w:hint="eastAsia"/>
        </w:rPr>
        <w:t>日。</w:t>
      </w:r>
    </w:p>
    <w:p w14:paraId="1D3FF937" w14:textId="77777777" w:rsidR="00C71A5B" w:rsidRDefault="00C71A5B" w:rsidP="00407CB3">
      <w:pPr>
        <w:pStyle w:val="AD"/>
        <w:spacing w:line="276" w:lineRule="auto"/>
      </w:pPr>
    </w:p>
    <w:p w14:paraId="4DCA7D59" w14:textId="1EF0F6FD" w:rsidR="00407CB3" w:rsidRPr="00407CB3" w:rsidRDefault="00407CB3" w:rsidP="00407CB3">
      <w:pPr>
        <w:pStyle w:val="AD"/>
        <w:spacing w:line="276" w:lineRule="auto"/>
      </w:pPr>
      <w:r w:rsidRPr="00407CB3">
        <w:rPr>
          <w:rFonts w:hint="eastAsia"/>
        </w:rPr>
        <w:t xml:space="preserve">　　特此公告。</w:t>
      </w:r>
    </w:p>
    <w:p w14:paraId="6C37A30F" w14:textId="098C05C7" w:rsidR="00407CB3" w:rsidRPr="00407CB3" w:rsidRDefault="00407CB3" w:rsidP="00407CB3">
      <w:pPr>
        <w:pStyle w:val="AD"/>
        <w:spacing w:line="276" w:lineRule="auto"/>
      </w:pPr>
    </w:p>
    <w:p w14:paraId="2D776D96" w14:textId="08C94DE0" w:rsidR="00407CB3" w:rsidRPr="00407CB3" w:rsidRDefault="00407CB3" w:rsidP="00407CB3">
      <w:pPr>
        <w:pStyle w:val="AD"/>
        <w:spacing w:line="276" w:lineRule="auto"/>
        <w:jc w:val="right"/>
      </w:pPr>
      <w:r w:rsidRPr="00407CB3">
        <w:rPr>
          <w:rFonts w:hint="eastAsia"/>
        </w:rPr>
        <w:t xml:space="preserve">　　市场监管总局</w:t>
      </w:r>
    </w:p>
    <w:p w14:paraId="59B3E623" w14:textId="2DBD36A9" w:rsidR="00407CB3" w:rsidRPr="00407CB3" w:rsidRDefault="00407CB3" w:rsidP="00407CB3">
      <w:pPr>
        <w:pStyle w:val="AD"/>
        <w:spacing w:line="276" w:lineRule="auto"/>
        <w:jc w:val="right"/>
      </w:pPr>
      <w:r w:rsidRPr="00407CB3">
        <w:rPr>
          <w:rFonts w:hint="eastAsia"/>
        </w:rPr>
        <w:t xml:space="preserve">　　</w:t>
      </w:r>
      <w:r w:rsidRPr="00407CB3">
        <w:rPr>
          <w:rFonts w:hint="eastAsia"/>
        </w:rPr>
        <w:t>2022</w:t>
      </w:r>
      <w:r w:rsidRPr="00407CB3">
        <w:rPr>
          <w:rFonts w:hint="eastAsia"/>
        </w:rPr>
        <w:t>年</w:t>
      </w:r>
      <w:r w:rsidRPr="00407CB3">
        <w:rPr>
          <w:rFonts w:hint="eastAsia"/>
        </w:rPr>
        <w:t>7</w:t>
      </w:r>
      <w:r w:rsidRPr="00407CB3">
        <w:rPr>
          <w:rFonts w:hint="eastAsia"/>
        </w:rPr>
        <w:t>月</w:t>
      </w:r>
      <w:r w:rsidRPr="00407CB3">
        <w:rPr>
          <w:rFonts w:hint="eastAsia"/>
        </w:rPr>
        <w:t>8</w:t>
      </w:r>
      <w:r w:rsidRPr="00407CB3">
        <w:rPr>
          <w:rFonts w:hint="eastAsia"/>
        </w:rPr>
        <w:t>日</w:t>
      </w:r>
    </w:p>
    <w:p w14:paraId="1C277F06" w14:textId="423F1627" w:rsidR="00B15193" w:rsidRDefault="00B15193" w:rsidP="00407CB3">
      <w:pPr>
        <w:pStyle w:val="AD"/>
        <w:spacing w:line="276" w:lineRule="auto"/>
      </w:pPr>
    </w:p>
    <w:p w14:paraId="0941AC6A" w14:textId="3780149B" w:rsidR="00407CB3" w:rsidRDefault="00407CB3" w:rsidP="00407CB3">
      <w:pPr>
        <w:pStyle w:val="AD"/>
        <w:spacing w:line="276" w:lineRule="auto"/>
      </w:pPr>
    </w:p>
    <w:p w14:paraId="47A35DB1" w14:textId="002E8B58" w:rsidR="00407CB3" w:rsidRDefault="00407CB3" w:rsidP="00407CB3">
      <w:pPr>
        <w:pStyle w:val="AD"/>
        <w:spacing w:line="276" w:lineRule="auto"/>
      </w:pPr>
      <w:r>
        <w:rPr>
          <w:rFonts w:hint="eastAsia"/>
        </w:rPr>
        <w:t>信息来源：</w:t>
      </w:r>
      <w:hyperlink r:id="rId8" w:history="1">
        <w:r w:rsidRPr="004B4E6A">
          <w:rPr>
            <w:rStyle w:val="a7"/>
          </w:rPr>
          <w:t>https://gkml.samr.gov.cn/nsjg/fldes/202207/t20220715_348645.html</w:t>
        </w:r>
      </w:hyperlink>
    </w:p>
    <w:p w14:paraId="7404071B" w14:textId="77777777" w:rsidR="00407CB3" w:rsidRPr="00407CB3" w:rsidRDefault="00407CB3" w:rsidP="00407CB3">
      <w:pPr>
        <w:pStyle w:val="AD"/>
        <w:spacing w:line="276" w:lineRule="auto"/>
      </w:pPr>
    </w:p>
    <w:sectPr w:rsidR="00407CB3" w:rsidRPr="00407CB3"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E625" w14:textId="77777777" w:rsidR="007C6F47" w:rsidRDefault="007C6F47" w:rsidP="00C20A6A">
      <w:pPr>
        <w:spacing w:line="240" w:lineRule="auto"/>
      </w:pPr>
      <w:r>
        <w:separator/>
      </w:r>
    </w:p>
  </w:endnote>
  <w:endnote w:type="continuationSeparator" w:id="0">
    <w:p w14:paraId="6E2FCBF4" w14:textId="77777777" w:rsidR="007C6F47" w:rsidRDefault="007C6F47"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B23B" w14:textId="77777777" w:rsidR="007C6F47" w:rsidRDefault="007C6F47" w:rsidP="00C20A6A">
      <w:pPr>
        <w:spacing w:line="240" w:lineRule="auto"/>
      </w:pPr>
      <w:r>
        <w:separator/>
      </w:r>
    </w:p>
  </w:footnote>
  <w:footnote w:type="continuationSeparator" w:id="0">
    <w:p w14:paraId="316BBB55" w14:textId="77777777" w:rsidR="007C6F47" w:rsidRDefault="007C6F47"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3C19"/>
    <w:rsid w:val="000F4C6A"/>
    <w:rsid w:val="00176A25"/>
    <w:rsid w:val="001C4C6F"/>
    <w:rsid w:val="003D27E2"/>
    <w:rsid w:val="003E3C19"/>
    <w:rsid w:val="00407CB3"/>
    <w:rsid w:val="005F7C76"/>
    <w:rsid w:val="007C6F47"/>
    <w:rsid w:val="007D7BDB"/>
    <w:rsid w:val="009C2946"/>
    <w:rsid w:val="00A548E7"/>
    <w:rsid w:val="00B15193"/>
    <w:rsid w:val="00B731F1"/>
    <w:rsid w:val="00C20A6A"/>
    <w:rsid w:val="00C22624"/>
    <w:rsid w:val="00C71A5B"/>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3182"/>
  <w15:chartTrackingRefBased/>
  <w15:docId w15:val="{8E161CDE-1726-4F77-A019-082A5FD1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407CB3"/>
    <w:rPr>
      <w:color w:val="0000FF" w:themeColor="hyperlink"/>
      <w:u w:val="single"/>
    </w:rPr>
  </w:style>
  <w:style w:type="character" w:styleId="a8">
    <w:name w:val="Unresolved Mention"/>
    <w:basedOn w:val="a0"/>
    <w:uiPriority w:val="99"/>
    <w:semiHidden/>
    <w:unhideWhenUsed/>
    <w:rsid w:val="0040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kml.samr.gov.cn/nsjg/fldes/202207/t20220715_348645.html" TargetMode="External"/><Relationship Id="rId3" Type="http://schemas.openxmlformats.org/officeDocument/2006/relationships/webSettings" Target="webSettings.xml"/><Relationship Id="rId7" Type="http://schemas.openxmlformats.org/officeDocument/2006/relationships/hyperlink" Target="mailto:fldj@samr.gov.cn%E3%80%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3</cp:revision>
  <dcterms:created xsi:type="dcterms:W3CDTF">2022-07-21T08:16:00Z</dcterms:created>
  <dcterms:modified xsi:type="dcterms:W3CDTF">2022-07-21T11:01:00Z</dcterms:modified>
</cp:coreProperties>
</file>