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F7541" w14:textId="5EC7A671" w:rsidR="00A27AD1" w:rsidRPr="00E103E8" w:rsidRDefault="00A27AD1" w:rsidP="00E103E8">
      <w:pPr>
        <w:pStyle w:val="AD"/>
        <w:spacing w:line="276" w:lineRule="auto"/>
        <w:jc w:val="center"/>
        <w:rPr>
          <w:rFonts w:hint="eastAsia"/>
          <w:b/>
          <w:bCs/>
          <w:color w:val="E36C0A" w:themeColor="accent6" w:themeShade="BF"/>
          <w:sz w:val="32"/>
          <w:szCs w:val="32"/>
        </w:rPr>
      </w:pPr>
      <w:r w:rsidRPr="00E103E8">
        <w:rPr>
          <w:rFonts w:hint="eastAsia"/>
          <w:b/>
          <w:bCs/>
          <w:color w:val="E36C0A" w:themeColor="accent6" w:themeShade="BF"/>
          <w:sz w:val="32"/>
          <w:szCs w:val="32"/>
        </w:rPr>
        <w:t>关于加强商业银行互联网贷款业务管理提升金融服务质效的通知</w:t>
      </w:r>
    </w:p>
    <w:p w14:paraId="680E0308" w14:textId="77777777" w:rsidR="00E103E8" w:rsidRDefault="00E103E8" w:rsidP="00E103E8">
      <w:pPr>
        <w:pStyle w:val="AD"/>
        <w:spacing w:line="276" w:lineRule="auto"/>
        <w:jc w:val="center"/>
        <w:rPr>
          <w:rFonts w:hint="eastAsia"/>
        </w:rPr>
      </w:pPr>
      <w:bookmarkStart w:id="0" w:name="_GoBack"/>
      <w:bookmarkEnd w:id="0"/>
      <w:r>
        <w:rPr>
          <w:rFonts w:hint="eastAsia"/>
        </w:rPr>
        <w:t>银保监规〔</w:t>
      </w:r>
      <w:r>
        <w:rPr>
          <w:rFonts w:hint="eastAsia"/>
        </w:rPr>
        <w:t>2022</w:t>
      </w:r>
      <w:r>
        <w:rPr>
          <w:rFonts w:hint="eastAsia"/>
        </w:rPr>
        <w:t>〕</w:t>
      </w:r>
      <w:r>
        <w:rPr>
          <w:rFonts w:hint="eastAsia"/>
        </w:rPr>
        <w:t>14</w:t>
      </w:r>
      <w:r>
        <w:rPr>
          <w:rFonts w:hint="eastAsia"/>
        </w:rPr>
        <w:t>号</w:t>
      </w:r>
    </w:p>
    <w:p w14:paraId="741312AC" w14:textId="77777777" w:rsidR="00E103E8" w:rsidRDefault="00E103E8" w:rsidP="00E103E8">
      <w:pPr>
        <w:pStyle w:val="AD"/>
        <w:spacing w:line="276" w:lineRule="auto"/>
      </w:pPr>
    </w:p>
    <w:p w14:paraId="71B1EFD7" w14:textId="0CA0135A" w:rsidR="00A27AD1" w:rsidRDefault="00A27AD1" w:rsidP="00E103E8">
      <w:pPr>
        <w:pStyle w:val="AD"/>
        <w:spacing w:line="276" w:lineRule="auto"/>
        <w:rPr>
          <w:rFonts w:hint="eastAsia"/>
        </w:rPr>
      </w:pPr>
      <w:proofErr w:type="gramStart"/>
      <w:r>
        <w:rPr>
          <w:rFonts w:hint="eastAsia"/>
        </w:rPr>
        <w:t>各银保</w:t>
      </w:r>
      <w:proofErr w:type="gramEnd"/>
      <w:r>
        <w:rPr>
          <w:rFonts w:hint="eastAsia"/>
        </w:rPr>
        <w:t>监局，各大型银行、股份制银行、外资银行、直销银行：</w:t>
      </w:r>
    </w:p>
    <w:p w14:paraId="524AF1E9" w14:textId="77777777" w:rsidR="00A27AD1" w:rsidRDefault="00A27AD1" w:rsidP="00E103E8">
      <w:pPr>
        <w:pStyle w:val="AD"/>
        <w:spacing w:line="276" w:lineRule="auto"/>
      </w:pPr>
    </w:p>
    <w:p w14:paraId="202F4A4B" w14:textId="77777777" w:rsidR="00A27AD1" w:rsidRDefault="00A27AD1" w:rsidP="00E103E8">
      <w:pPr>
        <w:pStyle w:val="AD"/>
        <w:spacing w:line="276" w:lineRule="auto"/>
        <w:rPr>
          <w:rFonts w:hint="eastAsia"/>
        </w:rPr>
      </w:pPr>
      <w:r>
        <w:rPr>
          <w:rFonts w:hint="eastAsia"/>
        </w:rPr>
        <w:t>《商业银行互联网贷款管理暂行办法》（中国银行保险监督管理委员会令</w:t>
      </w:r>
      <w:r>
        <w:rPr>
          <w:rFonts w:hint="eastAsia"/>
        </w:rPr>
        <w:t>2020</w:t>
      </w:r>
      <w:r>
        <w:rPr>
          <w:rFonts w:hint="eastAsia"/>
        </w:rPr>
        <w:t>年第</w:t>
      </w:r>
      <w:r>
        <w:rPr>
          <w:rFonts w:hint="eastAsia"/>
        </w:rPr>
        <w:t>9</w:t>
      </w:r>
      <w:r>
        <w:rPr>
          <w:rFonts w:hint="eastAsia"/>
        </w:rPr>
        <w:t>号，以下简称《办法》）、《中国银保监会办公厅关于进一步规范商业银行互联网贷款业务的通知》（银保监办发〔</w:t>
      </w:r>
      <w:r>
        <w:rPr>
          <w:rFonts w:hint="eastAsia"/>
        </w:rPr>
        <w:t>2021</w:t>
      </w:r>
      <w:r>
        <w:rPr>
          <w:rFonts w:hint="eastAsia"/>
        </w:rPr>
        <w:t>〕</w:t>
      </w:r>
      <w:r>
        <w:rPr>
          <w:rFonts w:hint="eastAsia"/>
        </w:rPr>
        <w:t>24</w:t>
      </w:r>
      <w:r>
        <w:rPr>
          <w:rFonts w:hint="eastAsia"/>
        </w:rPr>
        <w:t>号，以下简称《互联网贷款通知》）发布以来，商业银行互联网贷款业务发展平稳，在服务中小</w:t>
      </w:r>
      <w:proofErr w:type="gramStart"/>
      <w:r>
        <w:rPr>
          <w:rFonts w:hint="eastAsia"/>
        </w:rPr>
        <w:t>微企业</w:t>
      </w:r>
      <w:proofErr w:type="gramEnd"/>
      <w:r>
        <w:rPr>
          <w:rFonts w:hint="eastAsia"/>
        </w:rPr>
        <w:t>融资和居民消费等方面发挥了积极作用。为加强业务监管，提升服务质效，防范金融风险，进一步明确细化商业银行贷款管理和</w:t>
      </w:r>
      <w:proofErr w:type="gramStart"/>
      <w:r>
        <w:rPr>
          <w:rFonts w:hint="eastAsia"/>
        </w:rPr>
        <w:t>自主风控要求</w:t>
      </w:r>
      <w:proofErr w:type="gramEnd"/>
      <w:r>
        <w:rPr>
          <w:rFonts w:hint="eastAsia"/>
        </w:rPr>
        <w:t>，规范合作行为，促进平台经济规范健康发展，现就有关事项通知如下：</w:t>
      </w:r>
    </w:p>
    <w:p w14:paraId="5141E022" w14:textId="77777777" w:rsidR="00A27AD1" w:rsidRDefault="00A27AD1" w:rsidP="00E103E8">
      <w:pPr>
        <w:pStyle w:val="AD"/>
        <w:spacing w:line="276" w:lineRule="auto"/>
      </w:pPr>
    </w:p>
    <w:p w14:paraId="67405DBA" w14:textId="77777777" w:rsidR="00A27AD1" w:rsidRDefault="00A27AD1" w:rsidP="00E103E8">
      <w:pPr>
        <w:pStyle w:val="AD"/>
        <w:spacing w:line="276" w:lineRule="auto"/>
        <w:rPr>
          <w:rFonts w:hint="eastAsia"/>
        </w:rPr>
      </w:pPr>
      <w:r>
        <w:rPr>
          <w:rFonts w:hint="eastAsia"/>
        </w:rPr>
        <w:t>一、提升金融服务质效。商业银行应当在统筹经营管理规划基础上，稳妥推进数字化转型，立足自身定位精准研发互联网贷款产品，增加和完善产品供给，提高贷款响应率，优化贷款流程，充分发挥互联网贷款在助力市场主体</w:t>
      </w:r>
      <w:proofErr w:type="gramStart"/>
      <w:r>
        <w:rPr>
          <w:rFonts w:hint="eastAsia"/>
        </w:rPr>
        <w:t>纾</w:t>
      </w:r>
      <w:proofErr w:type="gramEnd"/>
      <w:r>
        <w:rPr>
          <w:rFonts w:hint="eastAsia"/>
        </w:rPr>
        <w:t>困、降低企业综合融资成本、加强新市民金融服务、优化消费重点领域金融支持等方面的积极作用。</w:t>
      </w:r>
    </w:p>
    <w:p w14:paraId="2B589F8F" w14:textId="77777777" w:rsidR="00A27AD1" w:rsidRDefault="00A27AD1" w:rsidP="00E103E8">
      <w:pPr>
        <w:pStyle w:val="AD"/>
        <w:spacing w:line="276" w:lineRule="auto"/>
      </w:pPr>
    </w:p>
    <w:p w14:paraId="01EDF583" w14:textId="77777777" w:rsidR="00A27AD1" w:rsidRDefault="00A27AD1" w:rsidP="00E103E8">
      <w:pPr>
        <w:pStyle w:val="AD"/>
        <w:spacing w:line="276" w:lineRule="auto"/>
        <w:rPr>
          <w:rFonts w:hint="eastAsia"/>
        </w:rPr>
      </w:pPr>
      <w:r>
        <w:rPr>
          <w:rFonts w:hint="eastAsia"/>
        </w:rPr>
        <w:t>二、履行贷款管理主体责任。商业银行应当提高互联网贷款风险管控能力，独立有效开展身份验证、授信审批和合同签订，严格履行贷款调查、风险评估、授信管理、贷款资金监测等主体责任，严格落实金融管理部门对征信、支付和反洗钱等方面的要求，防范贷款管理“空心化”。互联网贷款涉及与合作机构开展营销获客、支付结算、信息科技等合作的，商业银行应当加强</w:t>
      </w:r>
      <w:proofErr w:type="gramStart"/>
      <w:r>
        <w:rPr>
          <w:rFonts w:hint="eastAsia"/>
        </w:rPr>
        <w:t>核心风控环节</w:t>
      </w:r>
      <w:proofErr w:type="gramEnd"/>
      <w:r>
        <w:rPr>
          <w:rFonts w:hint="eastAsia"/>
        </w:rPr>
        <w:t>管理，不得因业务合作降低风险管控标准。</w:t>
      </w:r>
    </w:p>
    <w:p w14:paraId="20F05DC9" w14:textId="77777777" w:rsidR="00A27AD1" w:rsidRDefault="00A27AD1" w:rsidP="00E103E8">
      <w:pPr>
        <w:pStyle w:val="AD"/>
        <w:spacing w:line="276" w:lineRule="auto"/>
      </w:pPr>
    </w:p>
    <w:p w14:paraId="404AAE88" w14:textId="77777777" w:rsidR="00A27AD1" w:rsidRDefault="00A27AD1" w:rsidP="00E103E8">
      <w:pPr>
        <w:pStyle w:val="AD"/>
        <w:spacing w:line="276" w:lineRule="auto"/>
        <w:rPr>
          <w:rFonts w:hint="eastAsia"/>
        </w:rPr>
      </w:pPr>
      <w:r>
        <w:rPr>
          <w:rFonts w:hint="eastAsia"/>
        </w:rPr>
        <w:t>三、强化信息数据管理。商业银行应当严格执行民法典、个人信息保护法等法律法规和监管规定，遵循合法、正当、必要原则，完整准确获取身份验证、贷前调查、风险评估和贷后管理所需要的信息数据，并采取有效措施核实其真实性，在数据使用、加工、保管等方面加强对借款人信息的保护。商业银行与合作机构签订的书面协议，应当明确约定相关信息报送的具体要求。在与提供和处理个人信息的机构合作时，商业银行应当切实做好合作机构安全评估工作，评估内容包括但不限于个人信息保护合规制度体系、监督机制、处理信息规范、安全防护措施等。</w:t>
      </w:r>
    </w:p>
    <w:p w14:paraId="0C165EF7" w14:textId="77777777" w:rsidR="00A27AD1" w:rsidRDefault="00A27AD1" w:rsidP="00E103E8">
      <w:pPr>
        <w:pStyle w:val="AD"/>
        <w:spacing w:line="276" w:lineRule="auto"/>
      </w:pPr>
    </w:p>
    <w:p w14:paraId="5145EF1D" w14:textId="77777777" w:rsidR="00A27AD1" w:rsidRDefault="00A27AD1" w:rsidP="00E103E8">
      <w:pPr>
        <w:pStyle w:val="AD"/>
        <w:spacing w:line="276" w:lineRule="auto"/>
        <w:rPr>
          <w:rFonts w:hint="eastAsia"/>
        </w:rPr>
      </w:pPr>
      <w:r>
        <w:rPr>
          <w:rFonts w:hint="eastAsia"/>
        </w:rPr>
        <w:t>四、加强贷款资金管理。贷款资金发放、本息回收代扣、止付等关键环节由银行自主决策，指令由银行发起。采用自主支付的，资金应直接发放至借款人银行账户；采用受托支付的，商业银行应当履行受托支付责任，将贷款资金最终支付给符合借款人合同约定用途的交易对象。商业银行应当自主完整保留贷款资金发放、本息回收等账户流水信息，主动加强贷款资金管理，并采取有效措施对贷款用途进行监测，确保贷款资金安全，防范合作机构截留、汇集、挪用。</w:t>
      </w:r>
    </w:p>
    <w:p w14:paraId="02F30D05" w14:textId="77777777" w:rsidR="00A27AD1" w:rsidRDefault="00A27AD1" w:rsidP="00E103E8">
      <w:pPr>
        <w:pStyle w:val="AD"/>
        <w:spacing w:line="276" w:lineRule="auto"/>
      </w:pPr>
    </w:p>
    <w:p w14:paraId="4147385B" w14:textId="77777777" w:rsidR="00A27AD1" w:rsidRDefault="00A27AD1" w:rsidP="00E103E8">
      <w:pPr>
        <w:pStyle w:val="AD"/>
        <w:spacing w:line="276" w:lineRule="auto"/>
        <w:rPr>
          <w:rFonts w:hint="eastAsia"/>
        </w:rPr>
      </w:pPr>
      <w:r>
        <w:rPr>
          <w:rFonts w:hint="eastAsia"/>
        </w:rPr>
        <w:t>五、规范合作业务管理。商业银行应当规范与第三方机构互联网贷款合作业务，对共同出资、信息科技合作等业务分类别签订合作协议并明确各方权责，不得在贷款出资协议中掺杂混合其他服务约定。商业银行应当充分发挥助力普惠金融的积极作用，定期评估合作发放互联网贷款</w:t>
      </w:r>
      <w:r>
        <w:rPr>
          <w:rFonts w:hint="eastAsia"/>
        </w:rPr>
        <w:lastRenderedPageBreak/>
        <w:t>的综合融资成本。合作机构及其关联</w:t>
      </w:r>
      <w:proofErr w:type="gramStart"/>
      <w:r>
        <w:rPr>
          <w:rFonts w:hint="eastAsia"/>
        </w:rPr>
        <w:t>方违法</w:t>
      </w:r>
      <w:proofErr w:type="gramEnd"/>
      <w:r>
        <w:rPr>
          <w:rFonts w:hint="eastAsia"/>
        </w:rPr>
        <w:t>违规归集贷款资金、设定不公平不合理合作条件、未依法依规提供贷款管理必要信息、服务收费质价不符，或违反互联网贷款其他规定的，商业银行应当限制或者拒绝合作。</w:t>
      </w:r>
    </w:p>
    <w:p w14:paraId="6449D619" w14:textId="77777777" w:rsidR="00A27AD1" w:rsidRDefault="00A27AD1" w:rsidP="00E103E8">
      <w:pPr>
        <w:pStyle w:val="AD"/>
        <w:spacing w:line="276" w:lineRule="auto"/>
      </w:pPr>
    </w:p>
    <w:p w14:paraId="7FA76228" w14:textId="77777777" w:rsidR="00A27AD1" w:rsidRDefault="00A27AD1" w:rsidP="00E103E8">
      <w:pPr>
        <w:pStyle w:val="AD"/>
        <w:spacing w:line="276" w:lineRule="auto"/>
        <w:rPr>
          <w:rFonts w:hint="eastAsia"/>
        </w:rPr>
      </w:pPr>
      <w:r>
        <w:rPr>
          <w:rFonts w:hint="eastAsia"/>
        </w:rPr>
        <w:t>六、加强消费者权益保护。商业银行应当将消费者权益保护嵌入到业务全流程，向借款人如实充分披露贷款主体、实际年利率、</w:t>
      </w:r>
      <w:proofErr w:type="gramStart"/>
      <w:r>
        <w:rPr>
          <w:rFonts w:hint="eastAsia"/>
        </w:rPr>
        <w:t>年化综合</w:t>
      </w:r>
      <w:proofErr w:type="gramEnd"/>
      <w:r>
        <w:rPr>
          <w:rFonts w:hint="eastAsia"/>
        </w:rPr>
        <w:t>资金成本等信息，严禁强制捆绑销售、不当催收、滥用个人信息等行为。应当加强对合作机构营销宣传行为的合</w:t>
      </w:r>
      <w:proofErr w:type="gramStart"/>
      <w:r>
        <w:rPr>
          <w:rFonts w:hint="eastAsia"/>
        </w:rPr>
        <w:t>规</w:t>
      </w:r>
      <w:proofErr w:type="gramEnd"/>
      <w:r>
        <w:rPr>
          <w:rFonts w:hint="eastAsia"/>
        </w:rPr>
        <w:t>管理，并在合作协议中明确约定相关禁止性行为。</w:t>
      </w:r>
    </w:p>
    <w:p w14:paraId="536D9A02" w14:textId="77777777" w:rsidR="00A27AD1" w:rsidRDefault="00A27AD1" w:rsidP="00E103E8">
      <w:pPr>
        <w:pStyle w:val="AD"/>
        <w:spacing w:line="276" w:lineRule="auto"/>
      </w:pPr>
    </w:p>
    <w:p w14:paraId="2EBA13C6" w14:textId="77777777" w:rsidR="00A27AD1" w:rsidRDefault="00A27AD1" w:rsidP="00E103E8">
      <w:pPr>
        <w:pStyle w:val="AD"/>
        <w:spacing w:line="276" w:lineRule="auto"/>
        <w:rPr>
          <w:rFonts w:hint="eastAsia"/>
        </w:rPr>
      </w:pPr>
      <w:r>
        <w:rPr>
          <w:rFonts w:hint="eastAsia"/>
        </w:rPr>
        <w:t>七、外国银行分行、信托公司、消费金融公司、汽车金融公司开展互联网贷款业务，参照执行《办法》《互联网贷款通知》和本通知要求，银保监会另有规定的，从其规定。</w:t>
      </w:r>
    </w:p>
    <w:p w14:paraId="33954CA0" w14:textId="77777777" w:rsidR="00A27AD1" w:rsidRDefault="00A27AD1" w:rsidP="00E103E8">
      <w:pPr>
        <w:pStyle w:val="AD"/>
        <w:spacing w:line="276" w:lineRule="auto"/>
      </w:pPr>
    </w:p>
    <w:p w14:paraId="01A96AB9" w14:textId="77777777" w:rsidR="00A27AD1" w:rsidRDefault="00A27AD1" w:rsidP="00E103E8">
      <w:pPr>
        <w:pStyle w:val="AD"/>
        <w:spacing w:line="276" w:lineRule="auto"/>
        <w:rPr>
          <w:rFonts w:hint="eastAsia"/>
        </w:rPr>
      </w:pPr>
      <w:r>
        <w:rPr>
          <w:rFonts w:hint="eastAsia"/>
        </w:rPr>
        <w:t>八、商业银行互联网贷款存量业务过渡期至</w:t>
      </w:r>
      <w:r>
        <w:rPr>
          <w:rFonts w:hint="eastAsia"/>
        </w:rPr>
        <w:t>2023</w:t>
      </w:r>
      <w:r>
        <w:rPr>
          <w:rFonts w:hint="eastAsia"/>
        </w:rPr>
        <w:t>年</w:t>
      </w:r>
      <w:r>
        <w:rPr>
          <w:rFonts w:hint="eastAsia"/>
        </w:rPr>
        <w:t>6</w:t>
      </w:r>
      <w:r>
        <w:rPr>
          <w:rFonts w:hint="eastAsia"/>
        </w:rPr>
        <w:t>月</w:t>
      </w:r>
      <w:r>
        <w:rPr>
          <w:rFonts w:hint="eastAsia"/>
        </w:rPr>
        <w:t>30</w:t>
      </w:r>
      <w:r>
        <w:rPr>
          <w:rFonts w:hint="eastAsia"/>
        </w:rPr>
        <w:t>日。过渡期内，商业银行互联网贷款新增业务应当符合《办法》《互联网贷款通知》和本通知要求。</w:t>
      </w:r>
    </w:p>
    <w:p w14:paraId="708EDC76" w14:textId="70807F49" w:rsidR="00A27AD1" w:rsidRDefault="00A27AD1" w:rsidP="00E103E8">
      <w:pPr>
        <w:pStyle w:val="AD"/>
        <w:spacing w:line="276" w:lineRule="auto"/>
      </w:pPr>
    </w:p>
    <w:p w14:paraId="33AC80B2" w14:textId="77777777" w:rsidR="00A27AD1" w:rsidRDefault="00A27AD1" w:rsidP="00E103E8">
      <w:pPr>
        <w:pStyle w:val="AD"/>
        <w:spacing w:line="276" w:lineRule="auto"/>
      </w:pPr>
    </w:p>
    <w:p w14:paraId="7BD200CE" w14:textId="77777777" w:rsidR="00A27AD1" w:rsidRDefault="00A27AD1" w:rsidP="00E103E8">
      <w:pPr>
        <w:pStyle w:val="AD"/>
        <w:spacing w:line="276" w:lineRule="auto"/>
        <w:jc w:val="right"/>
        <w:rPr>
          <w:rFonts w:hint="eastAsia"/>
        </w:rPr>
      </w:pPr>
      <w:r>
        <w:rPr>
          <w:rFonts w:hint="eastAsia"/>
        </w:rPr>
        <w:t>中国银保监会</w:t>
      </w:r>
    </w:p>
    <w:p w14:paraId="04049A63" w14:textId="44D668C0" w:rsidR="00B15193" w:rsidRDefault="00A27AD1" w:rsidP="00E103E8">
      <w:pPr>
        <w:pStyle w:val="AD"/>
        <w:spacing w:line="276" w:lineRule="auto"/>
        <w:jc w:val="right"/>
      </w:pPr>
      <w:r>
        <w:rPr>
          <w:rFonts w:hint="eastAsia"/>
        </w:rPr>
        <w:t>2022</w:t>
      </w:r>
      <w:r>
        <w:rPr>
          <w:rFonts w:hint="eastAsia"/>
        </w:rPr>
        <w:t>年</w:t>
      </w:r>
      <w:r>
        <w:rPr>
          <w:rFonts w:hint="eastAsia"/>
        </w:rPr>
        <w:t>7</w:t>
      </w:r>
      <w:r>
        <w:rPr>
          <w:rFonts w:hint="eastAsia"/>
        </w:rPr>
        <w:t>月</w:t>
      </w:r>
      <w:r>
        <w:rPr>
          <w:rFonts w:hint="eastAsia"/>
        </w:rPr>
        <w:t>12</w:t>
      </w:r>
      <w:r>
        <w:rPr>
          <w:rFonts w:hint="eastAsia"/>
        </w:rPr>
        <w:t>日</w:t>
      </w:r>
    </w:p>
    <w:p w14:paraId="707D79F2" w14:textId="18BC1DD8" w:rsidR="00A27AD1" w:rsidRDefault="00A27AD1" w:rsidP="00E103E8">
      <w:pPr>
        <w:pStyle w:val="AD"/>
        <w:spacing w:line="276" w:lineRule="auto"/>
      </w:pPr>
    </w:p>
    <w:p w14:paraId="03D1B4B9" w14:textId="1F0EDB1A" w:rsidR="00A27AD1" w:rsidRDefault="00A27AD1" w:rsidP="00E103E8">
      <w:pPr>
        <w:pStyle w:val="AD"/>
        <w:spacing w:line="276" w:lineRule="auto"/>
      </w:pPr>
    </w:p>
    <w:p w14:paraId="5873268B" w14:textId="77777777" w:rsidR="00A27AD1" w:rsidRDefault="00A27AD1" w:rsidP="00E103E8">
      <w:pPr>
        <w:pStyle w:val="AD"/>
        <w:spacing w:line="276" w:lineRule="auto"/>
      </w:pPr>
      <w:r>
        <w:rPr>
          <w:rFonts w:hint="eastAsia"/>
        </w:rPr>
        <w:t>信息来源：</w:t>
      </w:r>
    </w:p>
    <w:p w14:paraId="17F82946" w14:textId="199E7F25" w:rsidR="00A27AD1" w:rsidRDefault="00E103E8" w:rsidP="00E103E8">
      <w:pPr>
        <w:pStyle w:val="AD"/>
        <w:spacing w:line="276" w:lineRule="auto"/>
      </w:pPr>
      <w:hyperlink r:id="rId6" w:history="1">
        <w:r w:rsidRPr="00EA171D">
          <w:rPr>
            <w:rStyle w:val="a9"/>
          </w:rPr>
          <w:t>http://www.cbirc.gov.cn/cn/view/pages/govermentDetail.html?docId=1061876&amp;itemId=861&amp;generaltype=1</w:t>
        </w:r>
      </w:hyperlink>
    </w:p>
    <w:p w14:paraId="383B3C24" w14:textId="77777777" w:rsidR="00A27AD1" w:rsidRPr="00A27AD1" w:rsidRDefault="00A27AD1" w:rsidP="00E103E8">
      <w:pPr>
        <w:pStyle w:val="AD"/>
        <w:spacing w:line="276" w:lineRule="auto"/>
        <w:rPr>
          <w:rFonts w:hint="eastAsia"/>
        </w:rPr>
      </w:pPr>
    </w:p>
    <w:sectPr w:rsidR="00A27AD1" w:rsidRPr="00A27AD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25A27" w14:textId="77777777" w:rsidR="006C7926" w:rsidRDefault="006C7926" w:rsidP="00C20A6A">
      <w:pPr>
        <w:spacing w:line="240" w:lineRule="auto"/>
      </w:pPr>
      <w:r>
        <w:separator/>
      </w:r>
    </w:p>
  </w:endnote>
  <w:endnote w:type="continuationSeparator" w:id="0">
    <w:p w14:paraId="142F714F" w14:textId="77777777" w:rsidR="006C7926" w:rsidRDefault="006C792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0FFFB" w14:textId="77777777" w:rsidR="006C7926" w:rsidRDefault="006C7926" w:rsidP="00C20A6A">
      <w:pPr>
        <w:spacing w:line="240" w:lineRule="auto"/>
      </w:pPr>
      <w:r>
        <w:separator/>
      </w:r>
    </w:p>
  </w:footnote>
  <w:footnote w:type="continuationSeparator" w:id="0">
    <w:p w14:paraId="1CBF0FC4" w14:textId="77777777" w:rsidR="006C7926" w:rsidRDefault="006C792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86839"/>
    <w:rsid w:val="000F4C6A"/>
    <w:rsid w:val="00176A25"/>
    <w:rsid w:val="001C4C6F"/>
    <w:rsid w:val="003D27E2"/>
    <w:rsid w:val="005F7C76"/>
    <w:rsid w:val="006C7926"/>
    <w:rsid w:val="007D7BDB"/>
    <w:rsid w:val="00A27AD1"/>
    <w:rsid w:val="00A548E7"/>
    <w:rsid w:val="00B15193"/>
    <w:rsid w:val="00B731F1"/>
    <w:rsid w:val="00C20A6A"/>
    <w:rsid w:val="00C22624"/>
    <w:rsid w:val="00D02718"/>
    <w:rsid w:val="00D86839"/>
    <w:rsid w:val="00E10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D1473"/>
  <w15:chartTrackingRefBased/>
  <w15:docId w15:val="{7F3D4796-83F6-4D7B-BFB7-99D19AC9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A27AD1"/>
    <w:pPr>
      <w:ind w:leftChars="2500" w:left="100"/>
    </w:pPr>
  </w:style>
  <w:style w:type="character" w:customStyle="1" w:styleId="a8">
    <w:name w:val="日期 字符"/>
    <w:basedOn w:val="a0"/>
    <w:link w:val="a7"/>
    <w:uiPriority w:val="99"/>
    <w:semiHidden/>
    <w:rsid w:val="00A27AD1"/>
    <w:rPr>
      <w:rFonts w:ascii="Arial" w:eastAsia="宋体" w:hAnsi="Arial"/>
      <w:sz w:val="22"/>
    </w:rPr>
  </w:style>
  <w:style w:type="character" w:styleId="a9">
    <w:name w:val="Hyperlink"/>
    <w:basedOn w:val="a0"/>
    <w:uiPriority w:val="99"/>
    <w:unhideWhenUsed/>
    <w:rsid w:val="00A27AD1"/>
    <w:rPr>
      <w:color w:val="0000FF" w:themeColor="hyperlink"/>
      <w:u w:val="single"/>
    </w:rPr>
  </w:style>
  <w:style w:type="character" w:styleId="aa">
    <w:name w:val="Unresolved Mention"/>
    <w:basedOn w:val="a0"/>
    <w:uiPriority w:val="99"/>
    <w:semiHidden/>
    <w:unhideWhenUsed/>
    <w:rsid w:val="00A27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govermentDetail.html?docId=1061876&amp;itemId=861&amp;generaltype=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2022-07-21T07:27:00Z</dcterms:created>
  <dcterms:modified xsi:type="dcterms:W3CDTF">2022-07-21T07:59:00Z</dcterms:modified>
</cp:coreProperties>
</file>