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4E94C" w14:textId="77777777" w:rsidR="00215C2E" w:rsidRPr="00CD4D62" w:rsidRDefault="00215C2E" w:rsidP="002E6CCB">
      <w:pPr>
        <w:pStyle w:val="AD"/>
        <w:spacing w:line="276" w:lineRule="auto"/>
        <w:jc w:val="center"/>
        <w:rPr>
          <w:b/>
          <w:bCs/>
          <w:color w:val="E36C0A" w:themeColor="accent6" w:themeShade="BF"/>
          <w:sz w:val="32"/>
          <w:szCs w:val="32"/>
        </w:rPr>
      </w:pPr>
      <w:r w:rsidRPr="00CD4D62">
        <w:rPr>
          <w:rFonts w:hint="eastAsia"/>
          <w:b/>
          <w:bCs/>
          <w:color w:val="E36C0A" w:themeColor="accent6" w:themeShade="BF"/>
          <w:sz w:val="32"/>
          <w:szCs w:val="32"/>
        </w:rPr>
        <w:t>关于实施《中华人民共和国印花税法》等有关事项的公告</w:t>
      </w:r>
    </w:p>
    <w:p w14:paraId="5496FEFF" w14:textId="77777777" w:rsidR="00215C2E" w:rsidRDefault="00215C2E" w:rsidP="002E6CCB">
      <w:pPr>
        <w:pStyle w:val="AD"/>
        <w:spacing w:line="276" w:lineRule="auto"/>
        <w:jc w:val="center"/>
      </w:pPr>
      <w:r>
        <w:rPr>
          <w:rFonts w:hint="eastAsia"/>
        </w:rPr>
        <w:t>国家税务总局公告</w:t>
      </w:r>
      <w:r>
        <w:rPr>
          <w:rFonts w:hint="eastAsia"/>
        </w:rPr>
        <w:t>2022</w:t>
      </w:r>
      <w:r>
        <w:rPr>
          <w:rFonts w:hint="eastAsia"/>
        </w:rPr>
        <w:t>年第</w:t>
      </w:r>
      <w:r>
        <w:rPr>
          <w:rFonts w:hint="eastAsia"/>
        </w:rPr>
        <w:t>14</w:t>
      </w:r>
      <w:r>
        <w:rPr>
          <w:rFonts w:hint="eastAsia"/>
        </w:rPr>
        <w:t>号</w:t>
      </w:r>
    </w:p>
    <w:p w14:paraId="0CB25AE9" w14:textId="77777777" w:rsidR="00CD4D62" w:rsidRDefault="00CD4D62" w:rsidP="002E6CCB">
      <w:pPr>
        <w:pStyle w:val="AD"/>
        <w:spacing w:line="276" w:lineRule="auto"/>
      </w:pPr>
    </w:p>
    <w:p w14:paraId="5FDE0F3D" w14:textId="4E9D898A" w:rsidR="00215C2E" w:rsidRDefault="00215C2E" w:rsidP="002E6CCB">
      <w:pPr>
        <w:pStyle w:val="AD"/>
        <w:spacing w:line="276" w:lineRule="auto"/>
      </w:pPr>
      <w:r>
        <w:rPr>
          <w:rFonts w:hint="eastAsia"/>
        </w:rPr>
        <w:t>为落实《中华人民共和国印花税法》（以下简称印花税法），贯彻中办、国办印发的《关于进一步深化税收征管改革的意见》，现就印花税征收管理和纳税服务有关事项及优化土地增值税优惠事项办理方式问题公告如下：</w:t>
      </w:r>
    </w:p>
    <w:p w14:paraId="64FB829B" w14:textId="77777777" w:rsidR="00215C2E" w:rsidRDefault="00215C2E" w:rsidP="002E6CCB">
      <w:pPr>
        <w:pStyle w:val="AD"/>
        <w:spacing w:line="276" w:lineRule="auto"/>
      </w:pPr>
    </w:p>
    <w:p w14:paraId="1FCE6048" w14:textId="77777777" w:rsidR="00215C2E" w:rsidRDefault="00215C2E" w:rsidP="002E6CCB">
      <w:pPr>
        <w:pStyle w:val="AD"/>
        <w:spacing w:line="276" w:lineRule="auto"/>
      </w:pPr>
      <w:r>
        <w:rPr>
          <w:rFonts w:hint="eastAsia"/>
        </w:rPr>
        <w:t>一、印花税征收管理和纳税服务有关事项</w:t>
      </w:r>
    </w:p>
    <w:p w14:paraId="4B507A2E" w14:textId="77777777" w:rsidR="00215C2E" w:rsidRDefault="00215C2E" w:rsidP="002E6CCB">
      <w:pPr>
        <w:pStyle w:val="AD"/>
        <w:spacing w:line="276" w:lineRule="auto"/>
      </w:pPr>
    </w:p>
    <w:p w14:paraId="696C103F" w14:textId="77777777" w:rsidR="00215C2E" w:rsidRDefault="00215C2E" w:rsidP="002E6CCB">
      <w:pPr>
        <w:pStyle w:val="AD"/>
        <w:spacing w:line="276" w:lineRule="auto"/>
      </w:pPr>
      <w:r>
        <w:rPr>
          <w:rFonts w:hint="eastAsia"/>
        </w:rPr>
        <w:t>（一）纳税人应当根据书立印花税应税合同、产权转移书据和营业账簿情况，填写《印花税税源明细表》（附件</w:t>
      </w:r>
      <w:r>
        <w:rPr>
          <w:rFonts w:hint="eastAsia"/>
        </w:rPr>
        <w:t>1</w:t>
      </w:r>
      <w:r>
        <w:rPr>
          <w:rFonts w:hint="eastAsia"/>
        </w:rPr>
        <w:t>），进行财产行为税综合申报。</w:t>
      </w:r>
    </w:p>
    <w:p w14:paraId="71B84369" w14:textId="77777777" w:rsidR="00215C2E" w:rsidRDefault="00215C2E" w:rsidP="002E6CCB">
      <w:pPr>
        <w:pStyle w:val="AD"/>
        <w:spacing w:line="276" w:lineRule="auto"/>
      </w:pPr>
    </w:p>
    <w:p w14:paraId="44FEFD05" w14:textId="77777777" w:rsidR="00215C2E" w:rsidRDefault="00215C2E" w:rsidP="002E6CCB">
      <w:pPr>
        <w:pStyle w:val="AD"/>
        <w:spacing w:line="276" w:lineRule="auto"/>
      </w:pPr>
      <w:r>
        <w:rPr>
          <w:rFonts w:hint="eastAsia"/>
        </w:rPr>
        <w:t>（二）应税合同、产权转移书据未列明金额，在后续实际结算时确定金额的，纳税人应当于书立应税合同、产权转移书据的首个纳税申报期申报应税合同、产权转移书据书立情况，在实际结算后下一个纳税申报期，以实际结算金额计算申报缴纳印花税。</w:t>
      </w:r>
    </w:p>
    <w:p w14:paraId="053D759F" w14:textId="77777777" w:rsidR="00215C2E" w:rsidRDefault="00215C2E" w:rsidP="002E6CCB">
      <w:pPr>
        <w:pStyle w:val="AD"/>
        <w:spacing w:line="276" w:lineRule="auto"/>
      </w:pPr>
    </w:p>
    <w:p w14:paraId="21D60F35" w14:textId="77777777" w:rsidR="00215C2E" w:rsidRDefault="00215C2E" w:rsidP="002E6CCB">
      <w:pPr>
        <w:pStyle w:val="AD"/>
        <w:spacing w:line="276" w:lineRule="auto"/>
      </w:pPr>
      <w:r>
        <w:rPr>
          <w:rFonts w:hint="eastAsia"/>
        </w:rPr>
        <w:t>（三）印花税按季、按年或者按次计征。应税合同、产权转移书据印花税可以按季或者按次申报缴纳，应税营业账簿印花税可以按年或者按次申报缴纳，具体纳税期限由各省、自治区、直辖市、计划单列市税务局结合征管实际确定。</w:t>
      </w:r>
    </w:p>
    <w:p w14:paraId="2C1231CE" w14:textId="77777777" w:rsidR="00215C2E" w:rsidRDefault="00215C2E" w:rsidP="002E6CCB">
      <w:pPr>
        <w:pStyle w:val="AD"/>
        <w:spacing w:line="276" w:lineRule="auto"/>
      </w:pPr>
    </w:p>
    <w:p w14:paraId="510D8599" w14:textId="77777777" w:rsidR="00215C2E" w:rsidRDefault="00215C2E" w:rsidP="002E6CCB">
      <w:pPr>
        <w:pStyle w:val="AD"/>
        <w:spacing w:line="276" w:lineRule="auto"/>
      </w:pPr>
      <w:r>
        <w:rPr>
          <w:rFonts w:hint="eastAsia"/>
        </w:rPr>
        <w:t>境外单位或者个人的应税凭证印花税可以按季、按年或者按次申报缴纳，具体纳税期限由各省、自治区、直辖市、计划单列市税务局结合征管实际确定。</w:t>
      </w:r>
    </w:p>
    <w:p w14:paraId="0ECB2FA7" w14:textId="77777777" w:rsidR="00215C2E" w:rsidRDefault="00215C2E" w:rsidP="002E6CCB">
      <w:pPr>
        <w:pStyle w:val="AD"/>
        <w:spacing w:line="276" w:lineRule="auto"/>
      </w:pPr>
    </w:p>
    <w:p w14:paraId="23EFD0D1" w14:textId="77777777" w:rsidR="00215C2E" w:rsidRDefault="00215C2E" w:rsidP="002E6CCB">
      <w:pPr>
        <w:pStyle w:val="AD"/>
        <w:spacing w:line="276" w:lineRule="auto"/>
      </w:pPr>
      <w:r>
        <w:rPr>
          <w:rFonts w:hint="eastAsia"/>
        </w:rPr>
        <w:t>（四）纳税人为境外单位或者个人，在境内有代理人的，以其境内代理人为扣缴义务人。境外单位或者个人的境内代理人应当按规定扣缴印花税，向境内代理人机构所在地（居住地）主管税务机关申报解缴税款。</w:t>
      </w:r>
    </w:p>
    <w:p w14:paraId="422AAFC7" w14:textId="77777777" w:rsidR="00215C2E" w:rsidRDefault="00215C2E" w:rsidP="002E6CCB">
      <w:pPr>
        <w:pStyle w:val="AD"/>
        <w:spacing w:line="276" w:lineRule="auto"/>
      </w:pPr>
    </w:p>
    <w:p w14:paraId="7AA63490" w14:textId="77777777" w:rsidR="00215C2E" w:rsidRDefault="00215C2E" w:rsidP="002E6CCB">
      <w:pPr>
        <w:pStyle w:val="AD"/>
        <w:spacing w:line="276" w:lineRule="auto"/>
      </w:pPr>
      <w:r>
        <w:rPr>
          <w:rFonts w:hint="eastAsia"/>
        </w:rPr>
        <w:t>纳税人为境外单位或者个人，在境内没有代理人的，纳税人应当自行申报缴纳印花税。境外单位或者个人可以向资产交付地、境内服务提供方或者接受方所在地（居住地）、书立应税凭证境内书立人所在地（居住地）主管税务机关申报缴纳；涉及不动产产权转移的，应当向不动产所在地主管税务机关申报缴纳。</w:t>
      </w:r>
    </w:p>
    <w:p w14:paraId="553B7F42" w14:textId="77777777" w:rsidR="00215C2E" w:rsidRDefault="00215C2E" w:rsidP="002E6CCB">
      <w:pPr>
        <w:pStyle w:val="AD"/>
        <w:spacing w:line="276" w:lineRule="auto"/>
      </w:pPr>
    </w:p>
    <w:p w14:paraId="668DE60F" w14:textId="77777777" w:rsidR="00215C2E" w:rsidRDefault="00215C2E" w:rsidP="002E6CCB">
      <w:pPr>
        <w:pStyle w:val="AD"/>
        <w:spacing w:line="276" w:lineRule="auto"/>
      </w:pPr>
      <w:r>
        <w:rPr>
          <w:rFonts w:hint="eastAsia"/>
        </w:rPr>
        <w:t>（五）印花税法实施后，纳税人享受印花税优惠政策，继续实行“自行判别、申报享受、有关资料留存备查”的办理方式。纳税人对留存备查资料的真实性、完整性和合法性承担法律责任。</w:t>
      </w:r>
    </w:p>
    <w:p w14:paraId="6CBFBA8B" w14:textId="77777777" w:rsidR="00215C2E" w:rsidRDefault="00215C2E" w:rsidP="002E6CCB">
      <w:pPr>
        <w:pStyle w:val="AD"/>
        <w:spacing w:line="276" w:lineRule="auto"/>
      </w:pPr>
    </w:p>
    <w:p w14:paraId="12645252" w14:textId="77777777" w:rsidR="00215C2E" w:rsidRDefault="00215C2E" w:rsidP="002E6CCB">
      <w:pPr>
        <w:pStyle w:val="AD"/>
        <w:spacing w:line="276" w:lineRule="auto"/>
      </w:pPr>
      <w:r>
        <w:rPr>
          <w:rFonts w:hint="eastAsia"/>
        </w:rPr>
        <w:t>（六）税务机关要优化印花税纳税服务。加强培训辅导，重点抓好基层税务管理人员、一线窗口人员和</w:t>
      </w:r>
      <w:r>
        <w:rPr>
          <w:rFonts w:hint="eastAsia"/>
        </w:rPr>
        <w:t>12366</w:t>
      </w:r>
      <w:r>
        <w:rPr>
          <w:rFonts w:hint="eastAsia"/>
        </w:rPr>
        <w:t>话务人员的学习和培训，分类做好纳税人宣传辅导，促进纳税人规范印花税应税凭证管理。坚持问题导向，聚焦纳税人和基层税务人员在税法实施过程中反馈的意见建议，及时完善征管系统和办税流程，不断提升纳税人获得感。</w:t>
      </w:r>
    </w:p>
    <w:p w14:paraId="2DB6D5F4" w14:textId="77777777" w:rsidR="00215C2E" w:rsidRDefault="00215C2E" w:rsidP="002E6CCB">
      <w:pPr>
        <w:pStyle w:val="AD"/>
        <w:spacing w:line="276" w:lineRule="auto"/>
      </w:pPr>
    </w:p>
    <w:p w14:paraId="5A3AB407" w14:textId="77777777" w:rsidR="00215C2E" w:rsidRDefault="00215C2E" w:rsidP="002E6CCB">
      <w:pPr>
        <w:pStyle w:val="AD"/>
        <w:spacing w:line="276" w:lineRule="auto"/>
      </w:pPr>
      <w:r>
        <w:rPr>
          <w:rFonts w:hint="eastAsia"/>
        </w:rPr>
        <w:t>二、优化土地增值税优惠事项办理方式</w:t>
      </w:r>
    </w:p>
    <w:p w14:paraId="191947D6" w14:textId="77777777" w:rsidR="00215C2E" w:rsidRDefault="00215C2E" w:rsidP="002E6CCB">
      <w:pPr>
        <w:pStyle w:val="AD"/>
        <w:spacing w:line="276" w:lineRule="auto"/>
      </w:pPr>
    </w:p>
    <w:p w14:paraId="79E5A7AB" w14:textId="77777777" w:rsidR="00215C2E" w:rsidRDefault="00215C2E" w:rsidP="002E6CCB">
      <w:pPr>
        <w:pStyle w:val="AD"/>
        <w:spacing w:line="276" w:lineRule="auto"/>
      </w:pPr>
      <w:r>
        <w:rPr>
          <w:rFonts w:hint="eastAsia"/>
        </w:rPr>
        <w:t>（一）土地增值税原备案类优惠政策，实行纳税人“自行判别、申报享受、有关资料留存备查”的办理方式。纳税人在土地增值税纳税申报时按规定填写申报表相应减免税栏次即可享受，相关政策规定的材料留存备查。纳税人对留存备查资料的真实性、完整性和合法性承担法律责任。</w:t>
      </w:r>
    </w:p>
    <w:p w14:paraId="7A5E3D89" w14:textId="77777777" w:rsidR="00215C2E" w:rsidRDefault="00215C2E" w:rsidP="002E6CCB">
      <w:pPr>
        <w:pStyle w:val="AD"/>
        <w:spacing w:line="276" w:lineRule="auto"/>
      </w:pPr>
    </w:p>
    <w:p w14:paraId="0C6B98B3" w14:textId="77777777" w:rsidR="00215C2E" w:rsidRDefault="00215C2E" w:rsidP="002E6CCB">
      <w:pPr>
        <w:pStyle w:val="AD"/>
        <w:spacing w:line="276" w:lineRule="auto"/>
      </w:pPr>
      <w:r>
        <w:rPr>
          <w:rFonts w:hint="eastAsia"/>
        </w:rPr>
        <w:t>（二）税务机关应当加强土地增值税纳税辅导工作，畅通政策问题答复渠道，为纳税人及时、准确办理税收优惠事项提供支持和帮助。</w:t>
      </w:r>
    </w:p>
    <w:p w14:paraId="16CDBC1C" w14:textId="77777777" w:rsidR="00215C2E" w:rsidRDefault="00215C2E" w:rsidP="002E6CCB">
      <w:pPr>
        <w:pStyle w:val="AD"/>
        <w:spacing w:line="276" w:lineRule="auto"/>
      </w:pPr>
    </w:p>
    <w:p w14:paraId="6DB630AC" w14:textId="77777777" w:rsidR="00215C2E" w:rsidRDefault="00215C2E" w:rsidP="002E6CCB">
      <w:pPr>
        <w:pStyle w:val="AD"/>
        <w:spacing w:line="276" w:lineRule="auto"/>
      </w:pPr>
      <w:r>
        <w:rPr>
          <w:rFonts w:hint="eastAsia"/>
        </w:rPr>
        <w:t>本公告自</w:t>
      </w:r>
      <w:r>
        <w:rPr>
          <w:rFonts w:hint="eastAsia"/>
        </w:rPr>
        <w:t>2022</w:t>
      </w:r>
      <w:r>
        <w:rPr>
          <w:rFonts w:hint="eastAsia"/>
        </w:rPr>
        <w:t>年</w:t>
      </w:r>
      <w:r>
        <w:rPr>
          <w:rFonts w:hint="eastAsia"/>
        </w:rPr>
        <w:t>7</w:t>
      </w:r>
      <w:r>
        <w:rPr>
          <w:rFonts w:hint="eastAsia"/>
        </w:rPr>
        <w:t>月</w:t>
      </w:r>
      <w:r>
        <w:rPr>
          <w:rFonts w:hint="eastAsia"/>
        </w:rPr>
        <w:t>1</w:t>
      </w:r>
      <w:r>
        <w:rPr>
          <w:rFonts w:hint="eastAsia"/>
        </w:rPr>
        <w:t>日起施行。《全文废止和部分条款废止的印花税文件目录》（附件</w:t>
      </w:r>
      <w:r>
        <w:rPr>
          <w:rFonts w:hint="eastAsia"/>
        </w:rPr>
        <w:t>2</w:t>
      </w:r>
      <w:r>
        <w:rPr>
          <w:rFonts w:hint="eastAsia"/>
        </w:rPr>
        <w:t>）所列文件或条款同时废止。</w:t>
      </w:r>
    </w:p>
    <w:p w14:paraId="017620A9" w14:textId="77777777" w:rsidR="00215C2E" w:rsidRDefault="00215C2E" w:rsidP="002E6CCB">
      <w:pPr>
        <w:pStyle w:val="AD"/>
        <w:spacing w:line="276" w:lineRule="auto"/>
      </w:pPr>
    </w:p>
    <w:p w14:paraId="2BCFB5B5" w14:textId="77777777" w:rsidR="00215C2E" w:rsidRDefault="00215C2E" w:rsidP="002E6CCB">
      <w:pPr>
        <w:pStyle w:val="AD"/>
        <w:spacing w:line="276" w:lineRule="auto"/>
      </w:pPr>
      <w:r>
        <w:rPr>
          <w:rFonts w:hint="eastAsia"/>
        </w:rPr>
        <w:t>特此公告。</w:t>
      </w:r>
    </w:p>
    <w:p w14:paraId="5A7AB114" w14:textId="77777777" w:rsidR="00215C2E" w:rsidRDefault="00215C2E" w:rsidP="002E6CCB">
      <w:pPr>
        <w:pStyle w:val="AD"/>
        <w:spacing w:line="276" w:lineRule="auto"/>
      </w:pPr>
    </w:p>
    <w:p w14:paraId="2FE826D1" w14:textId="03E9085E" w:rsidR="00215C2E" w:rsidRDefault="00215C2E" w:rsidP="002E6CCB">
      <w:pPr>
        <w:pStyle w:val="AD"/>
        <w:spacing w:line="276" w:lineRule="auto"/>
      </w:pPr>
      <w:r>
        <w:rPr>
          <w:rFonts w:hint="eastAsia"/>
        </w:rPr>
        <w:t>附件：</w:t>
      </w:r>
      <w:hyperlink r:id="rId6" w:history="1">
        <w:r w:rsidRPr="009E4955">
          <w:rPr>
            <w:rStyle w:val="a9"/>
            <w:rFonts w:hint="eastAsia"/>
          </w:rPr>
          <w:t>1.</w:t>
        </w:r>
        <w:r w:rsidRPr="009E4955">
          <w:rPr>
            <w:rStyle w:val="a9"/>
            <w:rFonts w:hint="eastAsia"/>
          </w:rPr>
          <w:t>印花税税源明细表</w:t>
        </w:r>
      </w:hyperlink>
    </w:p>
    <w:p w14:paraId="63FFC4F8" w14:textId="28550758" w:rsidR="00215C2E" w:rsidRDefault="009E4955" w:rsidP="00091A5C">
      <w:pPr>
        <w:pStyle w:val="AD"/>
        <w:spacing w:line="276" w:lineRule="auto"/>
        <w:ind w:firstLineChars="300" w:firstLine="660"/>
      </w:pPr>
      <w:hyperlink r:id="rId7" w:history="1">
        <w:r w:rsidR="00215C2E" w:rsidRPr="009E4955">
          <w:rPr>
            <w:rStyle w:val="a9"/>
            <w:rFonts w:hint="eastAsia"/>
          </w:rPr>
          <w:t>2.</w:t>
        </w:r>
        <w:r w:rsidR="00215C2E" w:rsidRPr="009E4955">
          <w:rPr>
            <w:rStyle w:val="a9"/>
            <w:rFonts w:hint="eastAsia"/>
          </w:rPr>
          <w:t>全文废止和部分条款废止的印花税文件目录</w:t>
        </w:r>
      </w:hyperlink>
    </w:p>
    <w:p w14:paraId="66344112" w14:textId="77777777" w:rsidR="00215C2E" w:rsidRDefault="00215C2E" w:rsidP="002E6CCB">
      <w:pPr>
        <w:pStyle w:val="AD"/>
        <w:spacing w:line="276" w:lineRule="auto"/>
      </w:pPr>
    </w:p>
    <w:p w14:paraId="7DB14DB7" w14:textId="77777777" w:rsidR="00215C2E" w:rsidRDefault="00215C2E" w:rsidP="002E6CCB">
      <w:pPr>
        <w:pStyle w:val="AD"/>
        <w:spacing w:line="276" w:lineRule="auto"/>
      </w:pPr>
    </w:p>
    <w:p w14:paraId="01404416" w14:textId="3BCD50B2" w:rsidR="00215C2E" w:rsidRDefault="00215C2E" w:rsidP="002E6CCB">
      <w:pPr>
        <w:pStyle w:val="AD"/>
        <w:spacing w:line="276" w:lineRule="auto"/>
        <w:jc w:val="right"/>
      </w:pPr>
      <w:r>
        <w:rPr>
          <w:rFonts w:hint="eastAsia"/>
        </w:rPr>
        <w:t>国家税务总局</w:t>
      </w:r>
    </w:p>
    <w:p w14:paraId="723E4674" w14:textId="42B99D22" w:rsidR="00B15193" w:rsidRDefault="00215C2E" w:rsidP="002E6CCB">
      <w:pPr>
        <w:pStyle w:val="AD"/>
        <w:spacing w:line="276" w:lineRule="auto"/>
        <w:jc w:val="right"/>
      </w:pPr>
      <w:r>
        <w:rPr>
          <w:rFonts w:hint="eastAsia"/>
        </w:rPr>
        <w:t>2022</w:t>
      </w:r>
      <w:r>
        <w:rPr>
          <w:rFonts w:hint="eastAsia"/>
        </w:rPr>
        <w:t>年</w:t>
      </w:r>
      <w:r>
        <w:rPr>
          <w:rFonts w:hint="eastAsia"/>
        </w:rPr>
        <w:t>6</w:t>
      </w:r>
      <w:r>
        <w:rPr>
          <w:rFonts w:hint="eastAsia"/>
        </w:rPr>
        <w:t>月</w:t>
      </w:r>
      <w:r>
        <w:rPr>
          <w:rFonts w:hint="eastAsia"/>
        </w:rPr>
        <w:t>28</w:t>
      </w:r>
      <w:r>
        <w:rPr>
          <w:rFonts w:hint="eastAsia"/>
        </w:rPr>
        <w:t>日</w:t>
      </w:r>
    </w:p>
    <w:p w14:paraId="65CE012F" w14:textId="2B104E21" w:rsidR="00215C2E" w:rsidRDefault="00215C2E" w:rsidP="002E6CCB">
      <w:pPr>
        <w:pStyle w:val="AD"/>
        <w:spacing w:line="276" w:lineRule="auto"/>
      </w:pPr>
    </w:p>
    <w:p w14:paraId="2B920A9A" w14:textId="1CAD7BC8" w:rsidR="00215C2E" w:rsidRDefault="00215C2E" w:rsidP="002E6CCB">
      <w:pPr>
        <w:pStyle w:val="AD"/>
        <w:spacing w:line="276" w:lineRule="auto"/>
      </w:pPr>
    </w:p>
    <w:p w14:paraId="46726639" w14:textId="6F8480B5" w:rsidR="00215C2E" w:rsidRDefault="00215C2E" w:rsidP="002E6CCB">
      <w:pPr>
        <w:pStyle w:val="AD"/>
        <w:spacing w:line="276" w:lineRule="auto"/>
      </w:pPr>
      <w:r>
        <w:rPr>
          <w:rFonts w:hint="eastAsia"/>
        </w:rPr>
        <w:t>信息来源：</w:t>
      </w:r>
      <w:hyperlink r:id="rId8" w:history="1">
        <w:r w:rsidRPr="00E620C2">
          <w:rPr>
            <w:rStyle w:val="a9"/>
          </w:rPr>
          <w:t>http://www.chinatax.gov.cn/chinatax/n367/c5176919/content.html</w:t>
        </w:r>
      </w:hyperlink>
    </w:p>
    <w:p w14:paraId="78EF6AF4" w14:textId="77777777" w:rsidR="00215C2E" w:rsidRPr="00215C2E" w:rsidRDefault="00215C2E" w:rsidP="002E6CCB">
      <w:pPr>
        <w:pStyle w:val="AD"/>
        <w:spacing w:line="276" w:lineRule="auto"/>
      </w:pPr>
    </w:p>
    <w:sectPr w:rsidR="00215C2E" w:rsidRPr="00215C2E"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8DDCA" w14:textId="77777777" w:rsidR="00BC09AE" w:rsidRDefault="00BC09AE" w:rsidP="00C20A6A">
      <w:pPr>
        <w:spacing w:line="240" w:lineRule="auto"/>
      </w:pPr>
      <w:r>
        <w:separator/>
      </w:r>
    </w:p>
  </w:endnote>
  <w:endnote w:type="continuationSeparator" w:id="0">
    <w:p w14:paraId="0460E95B" w14:textId="77777777" w:rsidR="00BC09AE" w:rsidRDefault="00BC09AE"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0C861" w14:textId="77777777" w:rsidR="00BC09AE" w:rsidRDefault="00BC09AE" w:rsidP="00C20A6A">
      <w:pPr>
        <w:spacing w:line="240" w:lineRule="auto"/>
      </w:pPr>
      <w:r>
        <w:separator/>
      </w:r>
    </w:p>
  </w:footnote>
  <w:footnote w:type="continuationSeparator" w:id="0">
    <w:p w14:paraId="64E72C21" w14:textId="77777777" w:rsidR="00BC09AE" w:rsidRDefault="00BC09AE"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36236"/>
    <w:rsid w:val="00036236"/>
    <w:rsid w:val="00091A5C"/>
    <w:rsid w:val="000F4C6A"/>
    <w:rsid w:val="00176A25"/>
    <w:rsid w:val="001C4C6F"/>
    <w:rsid w:val="00215C2E"/>
    <w:rsid w:val="002E6CCB"/>
    <w:rsid w:val="003D27E2"/>
    <w:rsid w:val="005F7C76"/>
    <w:rsid w:val="007D7BDB"/>
    <w:rsid w:val="009E4955"/>
    <w:rsid w:val="009F068A"/>
    <w:rsid w:val="00A548E7"/>
    <w:rsid w:val="00B15193"/>
    <w:rsid w:val="00B731F1"/>
    <w:rsid w:val="00BC09AE"/>
    <w:rsid w:val="00C20A6A"/>
    <w:rsid w:val="00C22624"/>
    <w:rsid w:val="00CD4D62"/>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B8DBE"/>
  <w15:chartTrackingRefBased/>
  <w15:docId w15:val="{BC5F72EE-3AC4-4E5E-B30E-FF009D8B2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215C2E"/>
    <w:pPr>
      <w:ind w:leftChars="2500" w:left="100"/>
    </w:pPr>
  </w:style>
  <w:style w:type="character" w:customStyle="1" w:styleId="a8">
    <w:name w:val="日期 字符"/>
    <w:basedOn w:val="a0"/>
    <w:link w:val="a7"/>
    <w:uiPriority w:val="99"/>
    <w:semiHidden/>
    <w:rsid w:val="00215C2E"/>
    <w:rPr>
      <w:rFonts w:ascii="Arial" w:eastAsia="宋体" w:hAnsi="Arial"/>
      <w:sz w:val="22"/>
    </w:rPr>
  </w:style>
  <w:style w:type="character" w:styleId="a9">
    <w:name w:val="Hyperlink"/>
    <w:basedOn w:val="a0"/>
    <w:uiPriority w:val="99"/>
    <w:unhideWhenUsed/>
    <w:rsid w:val="00215C2E"/>
    <w:rPr>
      <w:color w:val="0000FF" w:themeColor="hyperlink"/>
      <w:u w:val="single"/>
    </w:rPr>
  </w:style>
  <w:style w:type="character" w:styleId="aa">
    <w:name w:val="Unresolved Mention"/>
    <w:basedOn w:val="a0"/>
    <w:uiPriority w:val="99"/>
    <w:semiHidden/>
    <w:unhideWhenUsed/>
    <w:rsid w:val="00215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tax.gov.cn/chinatax/n367/c5176919/content.html" TargetMode="External"/><Relationship Id="rId3" Type="http://schemas.openxmlformats.org/officeDocument/2006/relationships/webSettings" Target="webSettings.xml"/><Relationship Id="rId7" Type="http://schemas.openxmlformats.org/officeDocument/2006/relationships/hyperlink" Target="http://centrum.hhp.com.cn/newlaw/20220630002_0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20630002_01.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238</Words>
  <Characters>1363</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2022-07-01T08:44:00Z</dcterms:created>
  <dcterms:modified xsi:type="dcterms:W3CDTF">2022-07-01T11:14:00Z</dcterms:modified>
</cp:coreProperties>
</file>