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74D5" w14:textId="77777777" w:rsidR="00BD577F" w:rsidRPr="00022200" w:rsidRDefault="003D0122" w:rsidP="00F737FA">
      <w:pPr>
        <w:pStyle w:val="AD"/>
        <w:spacing w:line="276" w:lineRule="auto"/>
        <w:jc w:val="center"/>
        <w:rPr>
          <w:b/>
          <w:bCs/>
          <w:color w:val="E36C0A" w:themeColor="accent6" w:themeShade="BF"/>
          <w:sz w:val="32"/>
          <w:szCs w:val="32"/>
        </w:rPr>
      </w:pPr>
      <w:bookmarkStart w:id="0" w:name="_GoBack"/>
      <w:bookmarkEnd w:id="0"/>
      <w:r w:rsidRPr="00022200">
        <w:rPr>
          <w:rFonts w:hint="eastAsia"/>
          <w:b/>
          <w:bCs/>
          <w:color w:val="E36C0A" w:themeColor="accent6" w:themeShade="BF"/>
          <w:sz w:val="32"/>
          <w:szCs w:val="32"/>
        </w:rPr>
        <w:t>关于支持外贸新业态跨境人民币结算的通知</w:t>
      </w:r>
    </w:p>
    <w:p w14:paraId="7CAB51B4" w14:textId="6C71CAB8" w:rsidR="003D0122" w:rsidRDefault="003D0122" w:rsidP="00F737FA">
      <w:pPr>
        <w:pStyle w:val="AD"/>
        <w:spacing w:line="276" w:lineRule="auto"/>
        <w:jc w:val="center"/>
        <w:rPr>
          <w:rFonts w:hint="eastAsia"/>
        </w:rPr>
      </w:pPr>
      <w:r>
        <w:rPr>
          <w:rFonts w:hint="eastAsia"/>
        </w:rPr>
        <w:t>银发〔</w:t>
      </w:r>
      <w:r>
        <w:rPr>
          <w:rFonts w:hint="eastAsia"/>
        </w:rPr>
        <w:t>2022</w:t>
      </w:r>
      <w:r>
        <w:rPr>
          <w:rFonts w:hint="eastAsia"/>
        </w:rPr>
        <w:t>〕</w:t>
      </w:r>
      <w:r>
        <w:rPr>
          <w:rFonts w:hint="eastAsia"/>
        </w:rPr>
        <w:t>139</w:t>
      </w:r>
      <w:r>
        <w:rPr>
          <w:rFonts w:hint="eastAsia"/>
        </w:rPr>
        <w:t>号</w:t>
      </w:r>
    </w:p>
    <w:p w14:paraId="53FF365F" w14:textId="77777777" w:rsidR="00C93077" w:rsidRDefault="00C93077" w:rsidP="00F737FA">
      <w:pPr>
        <w:pStyle w:val="AD"/>
        <w:spacing w:line="276" w:lineRule="auto"/>
      </w:pPr>
    </w:p>
    <w:p w14:paraId="5FD385E5" w14:textId="5EF0B93D" w:rsidR="003D0122" w:rsidRDefault="003D0122" w:rsidP="00F737FA">
      <w:pPr>
        <w:pStyle w:val="AD"/>
        <w:spacing w:line="276" w:lineRule="auto"/>
        <w:rPr>
          <w:rFonts w:hint="eastAsia"/>
        </w:rPr>
      </w:pPr>
      <w:r>
        <w:rPr>
          <w:rFonts w:hint="eastAsia"/>
        </w:rPr>
        <w:t>中国人民银行上海总部，各分行、营业管理部，各省会（首府）城市中心支行，各副省级城市中心支行；国家开发银行，各政策性银行、国有商业银行，中国邮政储蓄银行，各股份制商业银行；中国银联、跨境清算公司、网联清算有限公司：</w:t>
      </w:r>
    </w:p>
    <w:p w14:paraId="50C4908F" w14:textId="77777777" w:rsidR="003D0122" w:rsidRDefault="003D0122" w:rsidP="00F737FA">
      <w:pPr>
        <w:pStyle w:val="AD"/>
        <w:spacing w:line="276" w:lineRule="auto"/>
      </w:pPr>
    </w:p>
    <w:p w14:paraId="1FEAAD25" w14:textId="77777777" w:rsidR="003D0122" w:rsidRDefault="003D0122" w:rsidP="00F737FA">
      <w:pPr>
        <w:pStyle w:val="AD"/>
        <w:spacing w:line="276" w:lineRule="auto"/>
        <w:rPr>
          <w:rFonts w:hint="eastAsia"/>
        </w:rPr>
      </w:pPr>
      <w:r>
        <w:rPr>
          <w:rFonts w:hint="eastAsia"/>
        </w:rPr>
        <w:t>为贯彻落实《国务院办公厅关于加快发展外贸新业态新模式的意见》（国办发〔</w:t>
      </w:r>
      <w:r>
        <w:rPr>
          <w:rFonts w:hint="eastAsia"/>
        </w:rPr>
        <w:t>2021</w:t>
      </w:r>
      <w:r>
        <w:rPr>
          <w:rFonts w:hint="eastAsia"/>
        </w:rPr>
        <w:t>〕</w:t>
      </w:r>
      <w:r>
        <w:rPr>
          <w:rFonts w:hint="eastAsia"/>
        </w:rPr>
        <w:t>24</w:t>
      </w:r>
      <w:r>
        <w:rPr>
          <w:rFonts w:hint="eastAsia"/>
        </w:rPr>
        <w:t>号），进一步发挥跨境人民币结算业务服务实体经济、促进贸易投资便利化的作用，支持外贸新业态发展，现将有关事项通知如下：</w:t>
      </w:r>
    </w:p>
    <w:p w14:paraId="09012D33" w14:textId="77777777" w:rsidR="003D0122" w:rsidRDefault="003D0122" w:rsidP="00F737FA">
      <w:pPr>
        <w:pStyle w:val="AD"/>
        <w:spacing w:line="276" w:lineRule="auto"/>
      </w:pPr>
    </w:p>
    <w:p w14:paraId="0D2FBF51" w14:textId="77777777" w:rsidR="003D0122" w:rsidRDefault="003D0122" w:rsidP="00F737FA">
      <w:pPr>
        <w:pStyle w:val="AD"/>
        <w:spacing w:line="276" w:lineRule="auto"/>
        <w:rPr>
          <w:rFonts w:hint="eastAsia"/>
        </w:rPr>
      </w:pPr>
      <w:r>
        <w:rPr>
          <w:rFonts w:hint="eastAsia"/>
        </w:rPr>
        <w:t>一、在“了解你的客户”“了解你的业务”和“尽职审查”三原则的基础上，境内银行可与依法取得互联网支付业务许可的非银行支付机构（以下简称支付机构）、具有合法资质的清算机构合作，为市场交易主体及个人提供经常项下跨境人民币结算服务。</w:t>
      </w:r>
    </w:p>
    <w:p w14:paraId="7BCB4C55" w14:textId="77777777" w:rsidR="003D0122" w:rsidRDefault="003D0122" w:rsidP="00F737FA">
      <w:pPr>
        <w:pStyle w:val="AD"/>
        <w:spacing w:line="276" w:lineRule="auto"/>
      </w:pPr>
    </w:p>
    <w:p w14:paraId="413C44C7" w14:textId="77777777" w:rsidR="003D0122" w:rsidRDefault="003D0122" w:rsidP="00F737FA">
      <w:pPr>
        <w:pStyle w:val="AD"/>
        <w:spacing w:line="276" w:lineRule="auto"/>
        <w:rPr>
          <w:rFonts w:hint="eastAsia"/>
        </w:rPr>
      </w:pPr>
      <w:r>
        <w:rPr>
          <w:rFonts w:hint="eastAsia"/>
        </w:rPr>
        <w:t>本通知所称市场交易主体是指跨境电子商务、市场采购贸易、海外仓和外贸综合服务企业等外贸新业态经营者、购买商品或服务的消费者。</w:t>
      </w:r>
    </w:p>
    <w:p w14:paraId="40274F59" w14:textId="77777777" w:rsidR="003D0122" w:rsidRDefault="003D0122" w:rsidP="00F737FA">
      <w:pPr>
        <w:pStyle w:val="AD"/>
        <w:spacing w:line="276" w:lineRule="auto"/>
      </w:pPr>
    </w:p>
    <w:p w14:paraId="3F1BE6FE" w14:textId="77777777" w:rsidR="003D0122" w:rsidRDefault="003D0122" w:rsidP="00F737FA">
      <w:pPr>
        <w:pStyle w:val="AD"/>
        <w:spacing w:line="276" w:lineRule="auto"/>
        <w:rPr>
          <w:rFonts w:hint="eastAsia"/>
        </w:rPr>
      </w:pPr>
      <w:r>
        <w:rPr>
          <w:rFonts w:hint="eastAsia"/>
        </w:rPr>
        <w:t>二、与支付机构合作的境内银行应具备</w:t>
      </w:r>
      <w:r>
        <w:rPr>
          <w:rFonts w:hint="eastAsia"/>
        </w:rPr>
        <w:t>3</w:t>
      </w:r>
      <w:r>
        <w:rPr>
          <w:rFonts w:hint="eastAsia"/>
        </w:rPr>
        <w:t>年以上开展跨境人民币结算业务的经验，满足备付金银行相关要求，具备审核支付机构跨境人民币结算业务真实性、合法性的能力，具备适应支付机构跨境人民币结算业务特点的反洗钱、反恐怖融资、反逃税系统处理能力。</w:t>
      </w:r>
    </w:p>
    <w:p w14:paraId="2C797A10" w14:textId="77777777" w:rsidR="003D0122" w:rsidRDefault="003D0122" w:rsidP="00F737FA">
      <w:pPr>
        <w:pStyle w:val="AD"/>
        <w:spacing w:line="276" w:lineRule="auto"/>
      </w:pPr>
    </w:p>
    <w:p w14:paraId="4B4C7ED8" w14:textId="77777777" w:rsidR="003D0122" w:rsidRDefault="003D0122" w:rsidP="00F737FA">
      <w:pPr>
        <w:pStyle w:val="AD"/>
        <w:spacing w:line="276" w:lineRule="auto"/>
        <w:rPr>
          <w:rFonts w:hint="eastAsia"/>
        </w:rPr>
      </w:pPr>
      <w:r>
        <w:rPr>
          <w:rFonts w:hint="eastAsia"/>
        </w:rPr>
        <w:t>三、参与提供本通知规定的跨境人民币结算服务的支付机构应满足以下条件：</w:t>
      </w:r>
    </w:p>
    <w:p w14:paraId="50AB05CD" w14:textId="77777777" w:rsidR="003D0122" w:rsidRDefault="003D0122" w:rsidP="00F737FA">
      <w:pPr>
        <w:pStyle w:val="AD"/>
        <w:spacing w:line="276" w:lineRule="auto"/>
      </w:pPr>
    </w:p>
    <w:p w14:paraId="4C0A6170" w14:textId="77777777" w:rsidR="003D0122" w:rsidRDefault="003D0122" w:rsidP="00F737FA">
      <w:pPr>
        <w:pStyle w:val="AD"/>
        <w:spacing w:line="276" w:lineRule="auto"/>
        <w:rPr>
          <w:rFonts w:hint="eastAsia"/>
        </w:rPr>
      </w:pPr>
      <w:r>
        <w:rPr>
          <w:rFonts w:hint="eastAsia"/>
        </w:rPr>
        <w:t>（一）在境内注册并依法取得互联网支付业务许可。</w:t>
      </w:r>
    </w:p>
    <w:p w14:paraId="4548E8F8" w14:textId="77777777" w:rsidR="003D0122" w:rsidRDefault="003D0122" w:rsidP="00F737FA">
      <w:pPr>
        <w:pStyle w:val="AD"/>
        <w:spacing w:line="276" w:lineRule="auto"/>
      </w:pPr>
    </w:p>
    <w:p w14:paraId="191E3F6C" w14:textId="77777777" w:rsidR="003D0122" w:rsidRDefault="003D0122" w:rsidP="00F737FA">
      <w:pPr>
        <w:pStyle w:val="AD"/>
        <w:spacing w:line="276" w:lineRule="auto"/>
        <w:rPr>
          <w:rFonts w:hint="eastAsia"/>
        </w:rPr>
      </w:pPr>
      <w:r>
        <w:rPr>
          <w:rFonts w:hint="eastAsia"/>
        </w:rPr>
        <w:t>（二）具有使用人民币进行跨境结算的真实跨境业务需求。</w:t>
      </w:r>
    </w:p>
    <w:p w14:paraId="3873D718" w14:textId="77777777" w:rsidR="003D0122" w:rsidRDefault="003D0122" w:rsidP="00F737FA">
      <w:pPr>
        <w:pStyle w:val="AD"/>
        <w:spacing w:line="276" w:lineRule="auto"/>
      </w:pPr>
    </w:p>
    <w:p w14:paraId="4F0F8AC9" w14:textId="77777777" w:rsidR="003D0122" w:rsidRDefault="003D0122" w:rsidP="00F737FA">
      <w:pPr>
        <w:pStyle w:val="AD"/>
        <w:spacing w:line="276" w:lineRule="auto"/>
        <w:rPr>
          <w:rFonts w:hint="eastAsia"/>
        </w:rPr>
      </w:pPr>
      <w:r>
        <w:rPr>
          <w:rFonts w:hint="eastAsia"/>
        </w:rPr>
        <w:t>（三）具备健全的跨境业务相关内部控制制度和专职人员，能够按本通知要求及相关规定做好商户信息采集和准入管理，交易信息采集，跨境业务真实性、合法性审核等。</w:t>
      </w:r>
    </w:p>
    <w:p w14:paraId="224C1D69" w14:textId="77777777" w:rsidR="003D0122" w:rsidRDefault="003D0122" w:rsidP="00F737FA">
      <w:pPr>
        <w:pStyle w:val="AD"/>
        <w:spacing w:line="276" w:lineRule="auto"/>
      </w:pPr>
    </w:p>
    <w:p w14:paraId="5D10F732" w14:textId="77777777" w:rsidR="003D0122" w:rsidRDefault="003D0122" w:rsidP="00F737FA">
      <w:pPr>
        <w:pStyle w:val="AD"/>
        <w:spacing w:line="276" w:lineRule="auto"/>
        <w:rPr>
          <w:rFonts w:hint="eastAsia"/>
        </w:rPr>
      </w:pPr>
      <w:r>
        <w:rPr>
          <w:rFonts w:hint="eastAsia"/>
        </w:rPr>
        <w:t>（四）具备跨境人民币结算服务相关反洗钱、反恐怖融资、反逃税等具体制度和措施；具备高效的跨境人民币结算服务相关反洗钱、反恐怖融资、反逃税系统处理和对接能力。</w:t>
      </w:r>
    </w:p>
    <w:p w14:paraId="6EE81FE3" w14:textId="77777777" w:rsidR="003D0122" w:rsidRDefault="003D0122" w:rsidP="00F737FA">
      <w:pPr>
        <w:pStyle w:val="AD"/>
        <w:spacing w:line="276" w:lineRule="auto"/>
      </w:pPr>
    </w:p>
    <w:p w14:paraId="5A1C48CA" w14:textId="77777777" w:rsidR="003D0122" w:rsidRDefault="003D0122" w:rsidP="00F737FA">
      <w:pPr>
        <w:pStyle w:val="AD"/>
        <w:spacing w:line="276" w:lineRule="auto"/>
        <w:rPr>
          <w:rFonts w:hint="eastAsia"/>
        </w:rPr>
      </w:pPr>
      <w:r>
        <w:rPr>
          <w:rFonts w:hint="eastAsia"/>
        </w:rPr>
        <w:t>（五）遵守国家有关法律法规，合</w:t>
      </w:r>
      <w:proofErr w:type="gramStart"/>
      <w:r>
        <w:rPr>
          <w:rFonts w:hint="eastAsia"/>
        </w:rPr>
        <w:t>规</w:t>
      </w:r>
      <w:proofErr w:type="gramEnd"/>
      <w:r>
        <w:rPr>
          <w:rFonts w:hint="eastAsia"/>
        </w:rPr>
        <w:t>经营，风险控制能力较强，近两年未发生严重违规情况。</w:t>
      </w:r>
    </w:p>
    <w:p w14:paraId="0A215B02" w14:textId="77777777" w:rsidR="003D0122" w:rsidRDefault="003D0122" w:rsidP="00F737FA">
      <w:pPr>
        <w:pStyle w:val="AD"/>
        <w:spacing w:line="276" w:lineRule="auto"/>
      </w:pPr>
    </w:p>
    <w:p w14:paraId="3CAD053D" w14:textId="77777777" w:rsidR="003D0122" w:rsidRDefault="003D0122" w:rsidP="00F737FA">
      <w:pPr>
        <w:pStyle w:val="AD"/>
        <w:spacing w:line="276" w:lineRule="auto"/>
        <w:rPr>
          <w:rFonts w:hint="eastAsia"/>
        </w:rPr>
      </w:pPr>
      <w:r>
        <w:rPr>
          <w:rFonts w:hint="eastAsia"/>
        </w:rPr>
        <w:t>四、境内银行在为支付机构办理跨境人民币结算业务时，应按本通知第三条规定评估支付机构展业能力，与支付机构签署跨境人民币结算业务协议，明确双方权利和义务，并于</w:t>
      </w:r>
      <w:r>
        <w:rPr>
          <w:rFonts w:hint="eastAsia"/>
        </w:rPr>
        <w:t>10</w:t>
      </w:r>
      <w:r>
        <w:rPr>
          <w:rFonts w:hint="eastAsia"/>
        </w:rPr>
        <w:t>个工作日内向所在地中国人民银行副省级城市中心支行以上分支机构（以下简称中国人民银行分支机构）</w:t>
      </w:r>
      <w:r>
        <w:rPr>
          <w:rFonts w:hint="eastAsia"/>
        </w:rPr>
        <w:lastRenderedPageBreak/>
        <w:t>备案。境内银行应每年对已备案支付机构展</w:t>
      </w:r>
      <w:proofErr w:type="gramStart"/>
      <w:r>
        <w:rPr>
          <w:rFonts w:hint="eastAsia"/>
        </w:rPr>
        <w:t>业能力</w:t>
      </w:r>
      <w:proofErr w:type="gramEnd"/>
      <w:r>
        <w:rPr>
          <w:rFonts w:hint="eastAsia"/>
        </w:rPr>
        <w:t>进行评估并定期报送所在地中国人民银行分支机构。跨境人民币结算业务协议发生变更的，境内银行应于</w:t>
      </w:r>
      <w:r>
        <w:rPr>
          <w:rFonts w:hint="eastAsia"/>
        </w:rPr>
        <w:t>10</w:t>
      </w:r>
      <w:r>
        <w:rPr>
          <w:rFonts w:hint="eastAsia"/>
        </w:rPr>
        <w:t>个工作日内向所在地中国人民银行分支机构备案。对于经评估不满足本通知第三条相关要求的支付机构或跨境人民币结算业务协议终止的，境内银行应于</w:t>
      </w:r>
      <w:r>
        <w:rPr>
          <w:rFonts w:hint="eastAsia"/>
        </w:rPr>
        <w:t>10</w:t>
      </w:r>
      <w:r>
        <w:rPr>
          <w:rFonts w:hint="eastAsia"/>
        </w:rPr>
        <w:t>个工作日内向所在地中国人民银行分支机构报告并办理撤销备案。</w:t>
      </w:r>
    </w:p>
    <w:p w14:paraId="54AEC0C3" w14:textId="77777777" w:rsidR="003D0122" w:rsidRDefault="003D0122" w:rsidP="00F737FA">
      <w:pPr>
        <w:pStyle w:val="AD"/>
        <w:spacing w:line="276" w:lineRule="auto"/>
      </w:pPr>
    </w:p>
    <w:p w14:paraId="4F25DD3E" w14:textId="77777777" w:rsidR="003D0122" w:rsidRDefault="003D0122" w:rsidP="00F737FA">
      <w:pPr>
        <w:pStyle w:val="AD"/>
        <w:spacing w:line="276" w:lineRule="auto"/>
        <w:rPr>
          <w:rFonts w:hint="eastAsia"/>
        </w:rPr>
      </w:pPr>
      <w:r>
        <w:rPr>
          <w:rFonts w:hint="eastAsia"/>
        </w:rPr>
        <w:t>五、开展本通知规定的跨境人民币结算业务应具有真实、合法的交易基础，且符合国家有关法律法规规定。境内银行与支付机构合作开展本通知规定的跨境人民币结算业务的，双方应协商建立业务真实性审核机制，共同做好业务背景真实性、合法性审核，不得以任何形式为非法交易提供跨境人民币结算服务。</w:t>
      </w:r>
    </w:p>
    <w:p w14:paraId="7AA57CA5" w14:textId="77777777" w:rsidR="003D0122" w:rsidRDefault="003D0122" w:rsidP="00F737FA">
      <w:pPr>
        <w:pStyle w:val="AD"/>
        <w:spacing w:line="276" w:lineRule="auto"/>
      </w:pPr>
    </w:p>
    <w:p w14:paraId="39ABC013" w14:textId="77777777" w:rsidR="003D0122" w:rsidRDefault="003D0122" w:rsidP="00F737FA">
      <w:pPr>
        <w:pStyle w:val="AD"/>
        <w:spacing w:line="276" w:lineRule="auto"/>
        <w:rPr>
          <w:rFonts w:hint="eastAsia"/>
        </w:rPr>
      </w:pPr>
      <w:r>
        <w:rPr>
          <w:rFonts w:hint="eastAsia"/>
        </w:rPr>
        <w:t>（一）境内银行、支付机构应加强市场交易主体管理，依法采集市场交易主体基本信息，并定期核验更新，建立市场交易主体负面清单。</w:t>
      </w:r>
    </w:p>
    <w:p w14:paraId="0CF475BE" w14:textId="77777777" w:rsidR="003D0122" w:rsidRDefault="003D0122" w:rsidP="00F737FA">
      <w:pPr>
        <w:pStyle w:val="AD"/>
        <w:spacing w:line="276" w:lineRule="auto"/>
      </w:pPr>
    </w:p>
    <w:p w14:paraId="1955AF86" w14:textId="77777777" w:rsidR="003D0122" w:rsidRDefault="003D0122" w:rsidP="00F737FA">
      <w:pPr>
        <w:pStyle w:val="AD"/>
        <w:spacing w:line="276" w:lineRule="auto"/>
        <w:rPr>
          <w:rFonts w:hint="eastAsia"/>
        </w:rPr>
      </w:pPr>
      <w:r>
        <w:rPr>
          <w:rFonts w:hint="eastAsia"/>
        </w:rPr>
        <w:t>（二）境内银行、支付机构应根据市场交易主体类别、交易特征等，合理确定各类跨境人民币结算业务的单笔交易限额。</w:t>
      </w:r>
    </w:p>
    <w:p w14:paraId="073B75AF" w14:textId="77777777" w:rsidR="003D0122" w:rsidRDefault="003D0122" w:rsidP="00F737FA">
      <w:pPr>
        <w:pStyle w:val="AD"/>
        <w:spacing w:line="276" w:lineRule="auto"/>
      </w:pPr>
    </w:p>
    <w:p w14:paraId="0F1E716D" w14:textId="77777777" w:rsidR="003D0122" w:rsidRDefault="003D0122" w:rsidP="00F737FA">
      <w:pPr>
        <w:pStyle w:val="AD"/>
        <w:spacing w:line="276" w:lineRule="auto"/>
        <w:rPr>
          <w:rFonts w:hint="eastAsia"/>
        </w:rPr>
      </w:pPr>
      <w:r>
        <w:rPr>
          <w:rFonts w:hint="eastAsia"/>
        </w:rPr>
        <w:t>（三）境内银行、支付机构应建立健全跨境人民币结算业务事中审核和事后抽查制度，加强对大额交易、可疑交易、高频交易等异常交易的监测，相关信息至少留存</w:t>
      </w:r>
      <w:r>
        <w:rPr>
          <w:rFonts w:hint="eastAsia"/>
        </w:rPr>
        <w:t>5</w:t>
      </w:r>
      <w:r>
        <w:rPr>
          <w:rFonts w:hint="eastAsia"/>
        </w:rPr>
        <w:t>年备查。</w:t>
      </w:r>
    </w:p>
    <w:p w14:paraId="1DF21494" w14:textId="77777777" w:rsidR="003D0122" w:rsidRDefault="003D0122" w:rsidP="00F737FA">
      <w:pPr>
        <w:pStyle w:val="AD"/>
        <w:spacing w:line="276" w:lineRule="auto"/>
      </w:pPr>
    </w:p>
    <w:p w14:paraId="6B0C2B29" w14:textId="77777777" w:rsidR="003D0122" w:rsidRDefault="003D0122" w:rsidP="00F737FA">
      <w:pPr>
        <w:pStyle w:val="AD"/>
        <w:spacing w:line="276" w:lineRule="auto"/>
        <w:rPr>
          <w:rFonts w:hint="eastAsia"/>
        </w:rPr>
      </w:pPr>
      <w:r>
        <w:rPr>
          <w:rFonts w:hint="eastAsia"/>
        </w:rPr>
        <w:t>（四）支付机构应制</w:t>
      </w:r>
      <w:proofErr w:type="gramStart"/>
      <w:r>
        <w:rPr>
          <w:rFonts w:hint="eastAsia"/>
        </w:rPr>
        <w:t>定交易</w:t>
      </w:r>
      <w:proofErr w:type="gramEnd"/>
      <w:r>
        <w:rPr>
          <w:rFonts w:hint="eastAsia"/>
        </w:rPr>
        <w:t>信息采集及验证制度，对于违规风险较高的交易，支付机构应要求市场交易主体提供相关单证材料；不能确认交易真实合法的，应拒绝办理相关跨境人民币结算业务。</w:t>
      </w:r>
    </w:p>
    <w:p w14:paraId="4CE0A2FA" w14:textId="77777777" w:rsidR="003D0122" w:rsidRDefault="003D0122" w:rsidP="00F737FA">
      <w:pPr>
        <w:pStyle w:val="AD"/>
        <w:spacing w:line="276" w:lineRule="auto"/>
      </w:pPr>
    </w:p>
    <w:p w14:paraId="60D93DFD" w14:textId="77777777" w:rsidR="003D0122" w:rsidRDefault="003D0122" w:rsidP="00F737FA">
      <w:pPr>
        <w:pStyle w:val="AD"/>
        <w:spacing w:line="276" w:lineRule="auto"/>
        <w:rPr>
          <w:rFonts w:hint="eastAsia"/>
        </w:rPr>
      </w:pPr>
      <w:r>
        <w:rPr>
          <w:rFonts w:hint="eastAsia"/>
        </w:rPr>
        <w:t>（五）与支付机构合作的境内银行发现异常情况的，应及时采取相应措施，包括但不限于要求支付机构及交易相关方就可疑交易提供真实合法的单证材料；确认发生异常情况的，境内银行应于</w:t>
      </w:r>
      <w:r>
        <w:rPr>
          <w:rFonts w:hint="eastAsia"/>
        </w:rPr>
        <w:t>5</w:t>
      </w:r>
      <w:r>
        <w:rPr>
          <w:rFonts w:hint="eastAsia"/>
        </w:rPr>
        <w:t>个工作日内向所在地中国人民银行分支机构报告。境内银行对支付机构违规业务依法承担连带责任。</w:t>
      </w:r>
    </w:p>
    <w:p w14:paraId="092C05B4" w14:textId="77777777" w:rsidR="003D0122" w:rsidRDefault="003D0122" w:rsidP="00F737FA">
      <w:pPr>
        <w:pStyle w:val="AD"/>
        <w:spacing w:line="276" w:lineRule="auto"/>
      </w:pPr>
    </w:p>
    <w:p w14:paraId="78E3885A" w14:textId="77777777" w:rsidR="003D0122" w:rsidRDefault="003D0122" w:rsidP="00F737FA">
      <w:pPr>
        <w:pStyle w:val="AD"/>
        <w:spacing w:line="276" w:lineRule="auto"/>
        <w:rPr>
          <w:rFonts w:hint="eastAsia"/>
        </w:rPr>
      </w:pPr>
      <w:r>
        <w:rPr>
          <w:rFonts w:hint="eastAsia"/>
        </w:rPr>
        <w:t>境内银行直接为市场交易主体提供本通知规定的跨境人民币结算服务的，参照本通知办理。</w:t>
      </w:r>
    </w:p>
    <w:p w14:paraId="4BF2ED37" w14:textId="77777777" w:rsidR="003D0122" w:rsidRDefault="003D0122" w:rsidP="00F737FA">
      <w:pPr>
        <w:pStyle w:val="AD"/>
        <w:spacing w:line="276" w:lineRule="auto"/>
      </w:pPr>
    </w:p>
    <w:p w14:paraId="41832F05" w14:textId="77777777" w:rsidR="003D0122" w:rsidRDefault="003D0122" w:rsidP="00F737FA">
      <w:pPr>
        <w:pStyle w:val="AD"/>
        <w:spacing w:line="276" w:lineRule="auto"/>
        <w:rPr>
          <w:rFonts w:hint="eastAsia"/>
        </w:rPr>
      </w:pPr>
      <w:r>
        <w:rPr>
          <w:rFonts w:hint="eastAsia"/>
        </w:rPr>
        <w:t>六、境内银行和支付机构提供跨境人民币结算服务时，应依法履行反洗钱、反恐怖融资、反逃税义务，遵守打击跨境赌博、电信网络诈骗及非法从事支付机构业务等相关规定。</w:t>
      </w:r>
    </w:p>
    <w:p w14:paraId="60AFBD10" w14:textId="77777777" w:rsidR="003D0122" w:rsidRDefault="003D0122" w:rsidP="00F737FA">
      <w:pPr>
        <w:pStyle w:val="AD"/>
        <w:spacing w:line="276" w:lineRule="auto"/>
      </w:pPr>
    </w:p>
    <w:p w14:paraId="50F4FE61" w14:textId="77777777" w:rsidR="003D0122" w:rsidRDefault="003D0122" w:rsidP="00F737FA">
      <w:pPr>
        <w:pStyle w:val="AD"/>
        <w:spacing w:line="276" w:lineRule="auto"/>
        <w:rPr>
          <w:rFonts w:hint="eastAsia"/>
        </w:rPr>
      </w:pPr>
      <w:r>
        <w:rPr>
          <w:rFonts w:hint="eastAsia"/>
        </w:rPr>
        <w:t>七、境内银行应按照人民币跨境收付信息管理系统（</w:t>
      </w:r>
      <w:r>
        <w:rPr>
          <w:rFonts w:hint="eastAsia"/>
        </w:rPr>
        <w:t>RCPMIS</w:t>
      </w:r>
      <w:r>
        <w:rPr>
          <w:rFonts w:hint="eastAsia"/>
        </w:rPr>
        <w:t>）信息报送相关要求，及时、准确、完整地报送跨境收付数据，轧差净额结算应还原为收款和付款信息报送。境内银行、支付机构应妥善保存集中收付或轧差净额结算前境内实际收付款机构或个人的逐笔原始收付款数据备查。</w:t>
      </w:r>
    </w:p>
    <w:p w14:paraId="61CFBAD5" w14:textId="77777777" w:rsidR="003D0122" w:rsidRDefault="003D0122" w:rsidP="00F737FA">
      <w:pPr>
        <w:pStyle w:val="AD"/>
        <w:spacing w:line="276" w:lineRule="auto"/>
      </w:pPr>
    </w:p>
    <w:p w14:paraId="793F7749" w14:textId="77777777" w:rsidR="003D0122" w:rsidRDefault="003D0122" w:rsidP="00F737FA">
      <w:pPr>
        <w:pStyle w:val="AD"/>
        <w:spacing w:line="276" w:lineRule="auto"/>
        <w:rPr>
          <w:rFonts w:hint="eastAsia"/>
        </w:rPr>
      </w:pPr>
      <w:r>
        <w:rPr>
          <w:rFonts w:hint="eastAsia"/>
        </w:rPr>
        <w:lastRenderedPageBreak/>
        <w:t>八、中国人民银行及其分支机构可依法对境内银行和支付机构开展的外贸新业态跨境人民币结算业务开展非现场监测，境内银行和支付机构应予以配合。</w:t>
      </w:r>
    </w:p>
    <w:p w14:paraId="12D019AB" w14:textId="77777777" w:rsidR="003D0122" w:rsidRDefault="003D0122" w:rsidP="00F737FA">
      <w:pPr>
        <w:pStyle w:val="AD"/>
        <w:spacing w:line="276" w:lineRule="auto"/>
      </w:pPr>
    </w:p>
    <w:p w14:paraId="54756932" w14:textId="77777777" w:rsidR="003D0122" w:rsidRDefault="003D0122" w:rsidP="00F737FA">
      <w:pPr>
        <w:pStyle w:val="AD"/>
        <w:spacing w:line="276" w:lineRule="auto"/>
        <w:rPr>
          <w:rFonts w:hint="eastAsia"/>
        </w:rPr>
      </w:pPr>
      <w:r>
        <w:rPr>
          <w:rFonts w:hint="eastAsia"/>
        </w:rPr>
        <w:t>九、支持境内银行和支付机构提升服务能力，加大对外贸新业态跨境人民币结算业务的支持力度，丰富外贸新业态跨境人民币结算业务配套产品，降低市场交易主体业务办理成本。</w:t>
      </w:r>
    </w:p>
    <w:p w14:paraId="37518638" w14:textId="77777777" w:rsidR="003D0122" w:rsidRDefault="003D0122" w:rsidP="00F737FA">
      <w:pPr>
        <w:pStyle w:val="AD"/>
        <w:spacing w:line="276" w:lineRule="auto"/>
      </w:pPr>
    </w:p>
    <w:p w14:paraId="4D96F121" w14:textId="77777777" w:rsidR="003D0122" w:rsidRDefault="003D0122" w:rsidP="00F737FA">
      <w:pPr>
        <w:pStyle w:val="AD"/>
        <w:spacing w:line="276" w:lineRule="auto"/>
        <w:rPr>
          <w:rFonts w:hint="eastAsia"/>
        </w:rPr>
      </w:pPr>
      <w:r>
        <w:rPr>
          <w:rFonts w:hint="eastAsia"/>
        </w:rPr>
        <w:t>十、本通知自</w:t>
      </w:r>
      <w:r>
        <w:rPr>
          <w:rFonts w:hint="eastAsia"/>
        </w:rPr>
        <w:t>2022</w:t>
      </w:r>
      <w:r>
        <w:rPr>
          <w:rFonts w:hint="eastAsia"/>
        </w:rPr>
        <w:t>年</w:t>
      </w:r>
      <w:r>
        <w:rPr>
          <w:rFonts w:hint="eastAsia"/>
        </w:rPr>
        <w:t>7</w:t>
      </w:r>
      <w:r>
        <w:rPr>
          <w:rFonts w:hint="eastAsia"/>
        </w:rPr>
        <w:t>月</w:t>
      </w:r>
      <w:r>
        <w:rPr>
          <w:rFonts w:hint="eastAsia"/>
        </w:rPr>
        <w:t>21</w:t>
      </w:r>
      <w:r>
        <w:rPr>
          <w:rFonts w:hint="eastAsia"/>
        </w:rPr>
        <w:t>日起施行。《中国人民银行关于贯彻落实〈国务院办公厅关于支持外贸稳定增长的若干意见〉的指导意见》（银发〔</w:t>
      </w:r>
      <w:r>
        <w:rPr>
          <w:rFonts w:hint="eastAsia"/>
        </w:rPr>
        <w:t>2014</w:t>
      </w:r>
      <w:r>
        <w:rPr>
          <w:rFonts w:hint="eastAsia"/>
        </w:rPr>
        <w:t>〕</w:t>
      </w:r>
      <w:r>
        <w:rPr>
          <w:rFonts w:hint="eastAsia"/>
        </w:rPr>
        <w:t>168</w:t>
      </w:r>
      <w:r>
        <w:rPr>
          <w:rFonts w:hint="eastAsia"/>
        </w:rPr>
        <w:t>号）第七条等规定与本通知不一致的，以本通知为准。</w:t>
      </w:r>
    </w:p>
    <w:p w14:paraId="32AD5036" w14:textId="77777777" w:rsidR="003D0122" w:rsidRDefault="003D0122" w:rsidP="00F737FA">
      <w:pPr>
        <w:pStyle w:val="AD"/>
        <w:spacing w:line="276" w:lineRule="auto"/>
      </w:pPr>
    </w:p>
    <w:p w14:paraId="3DEAFD8F" w14:textId="77777777" w:rsidR="003D0122" w:rsidRDefault="003D0122" w:rsidP="00F737FA">
      <w:pPr>
        <w:pStyle w:val="AD"/>
        <w:spacing w:line="276" w:lineRule="auto"/>
        <w:jc w:val="right"/>
        <w:rPr>
          <w:rFonts w:hint="eastAsia"/>
        </w:rPr>
      </w:pPr>
      <w:r>
        <w:rPr>
          <w:rFonts w:hint="eastAsia"/>
        </w:rPr>
        <w:t>中国人民银行</w:t>
      </w:r>
    </w:p>
    <w:p w14:paraId="6A378867" w14:textId="433DB2FA" w:rsidR="00B15193" w:rsidRDefault="003D0122" w:rsidP="00F737FA">
      <w:pPr>
        <w:pStyle w:val="AD"/>
        <w:spacing w:line="276" w:lineRule="auto"/>
        <w:jc w:val="right"/>
      </w:pPr>
      <w:r>
        <w:rPr>
          <w:rFonts w:hint="eastAsia"/>
        </w:rPr>
        <w:t>2022</w:t>
      </w:r>
      <w:r>
        <w:rPr>
          <w:rFonts w:hint="eastAsia"/>
        </w:rPr>
        <w:t>年</w:t>
      </w:r>
      <w:r>
        <w:rPr>
          <w:rFonts w:hint="eastAsia"/>
        </w:rPr>
        <w:t>6</w:t>
      </w:r>
      <w:r>
        <w:rPr>
          <w:rFonts w:hint="eastAsia"/>
        </w:rPr>
        <w:t>月</w:t>
      </w:r>
      <w:r>
        <w:rPr>
          <w:rFonts w:hint="eastAsia"/>
        </w:rPr>
        <w:t>16</w:t>
      </w:r>
      <w:r>
        <w:rPr>
          <w:rFonts w:hint="eastAsia"/>
        </w:rPr>
        <w:t>日</w:t>
      </w:r>
    </w:p>
    <w:p w14:paraId="3107ECF3" w14:textId="1819EEBC" w:rsidR="003D0122" w:rsidRDefault="003D0122" w:rsidP="00F737FA">
      <w:pPr>
        <w:pStyle w:val="AD"/>
        <w:spacing w:line="276" w:lineRule="auto"/>
      </w:pPr>
    </w:p>
    <w:p w14:paraId="35E86E93" w14:textId="30E6D3CC" w:rsidR="003D0122" w:rsidRDefault="003D0122" w:rsidP="00F737FA">
      <w:pPr>
        <w:pStyle w:val="AD"/>
        <w:spacing w:line="276" w:lineRule="auto"/>
      </w:pPr>
    </w:p>
    <w:p w14:paraId="2257FD25" w14:textId="6B48F925" w:rsidR="003D0122" w:rsidRDefault="003D0122" w:rsidP="00F737FA">
      <w:pPr>
        <w:pStyle w:val="AD"/>
        <w:spacing w:line="276" w:lineRule="auto"/>
      </w:pPr>
      <w:r>
        <w:rPr>
          <w:rFonts w:hint="eastAsia"/>
        </w:rPr>
        <w:t>信息来源：</w:t>
      </w:r>
      <w:hyperlink r:id="rId6" w:history="1">
        <w:r w:rsidRPr="0012557E">
          <w:rPr>
            <w:rStyle w:val="a9"/>
          </w:rPr>
          <w:t>http://www.pbc.gov.cn/tiaofasi/144941/3581332/4581686/index.html</w:t>
        </w:r>
      </w:hyperlink>
    </w:p>
    <w:p w14:paraId="16F5BAFD" w14:textId="77777777" w:rsidR="003D0122" w:rsidRPr="003D0122" w:rsidRDefault="003D0122" w:rsidP="00F737FA">
      <w:pPr>
        <w:pStyle w:val="AD"/>
        <w:spacing w:line="276" w:lineRule="auto"/>
        <w:rPr>
          <w:rFonts w:hint="eastAsia"/>
        </w:rPr>
      </w:pPr>
    </w:p>
    <w:sectPr w:rsidR="003D0122" w:rsidRPr="003D012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75C0" w14:textId="77777777" w:rsidR="00860B95" w:rsidRDefault="00860B95" w:rsidP="00C20A6A">
      <w:pPr>
        <w:spacing w:line="240" w:lineRule="auto"/>
      </w:pPr>
      <w:r>
        <w:separator/>
      </w:r>
    </w:p>
  </w:endnote>
  <w:endnote w:type="continuationSeparator" w:id="0">
    <w:p w14:paraId="02F7590E" w14:textId="77777777" w:rsidR="00860B95" w:rsidRDefault="00860B9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A090" w14:textId="77777777" w:rsidR="00860B95" w:rsidRDefault="00860B95" w:rsidP="00C20A6A">
      <w:pPr>
        <w:spacing w:line="240" w:lineRule="auto"/>
      </w:pPr>
      <w:r>
        <w:separator/>
      </w:r>
    </w:p>
  </w:footnote>
  <w:footnote w:type="continuationSeparator" w:id="0">
    <w:p w14:paraId="756E25DC" w14:textId="77777777" w:rsidR="00860B95" w:rsidRDefault="00860B9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0DCC"/>
    <w:rsid w:val="00022200"/>
    <w:rsid w:val="000F4C6A"/>
    <w:rsid w:val="00176A25"/>
    <w:rsid w:val="001C4C6F"/>
    <w:rsid w:val="003D0122"/>
    <w:rsid w:val="003D27E2"/>
    <w:rsid w:val="005F7C76"/>
    <w:rsid w:val="006C0DCC"/>
    <w:rsid w:val="007D7BDB"/>
    <w:rsid w:val="00860B95"/>
    <w:rsid w:val="00A548E7"/>
    <w:rsid w:val="00B15193"/>
    <w:rsid w:val="00B731F1"/>
    <w:rsid w:val="00BD577F"/>
    <w:rsid w:val="00C20A6A"/>
    <w:rsid w:val="00C22624"/>
    <w:rsid w:val="00C93077"/>
    <w:rsid w:val="00D02718"/>
    <w:rsid w:val="00F73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6606B"/>
  <w15:chartTrackingRefBased/>
  <w15:docId w15:val="{D58B33F5-C474-4CA2-8B31-7E6EC86E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D0122"/>
    <w:pPr>
      <w:ind w:leftChars="2500" w:left="100"/>
    </w:pPr>
  </w:style>
  <w:style w:type="character" w:customStyle="1" w:styleId="a8">
    <w:name w:val="日期 字符"/>
    <w:basedOn w:val="a0"/>
    <w:link w:val="a7"/>
    <w:uiPriority w:val="99"/>
    <w:semiHidden/>
    <w:rsid w:val="003D0122"/>
    <w:rPr>
      <w:rFonts w:ascii="Arial" w:eastAsia="宋体" w:hAnsi="Arial"/>
      <w:sz w:val="22"/>
    </w:rPr>
  </w:style>
  <w:style w:type="character" w:styleId="a9">
    <w:name w:val="Hyperlink"/>
    <w:basedOn w:val="a0"/>
    <w:uiPriority w:val="99"/>
    <w:unhideWhenUsed/>
    <w:rsid w:val="003D0122"/>
    <w:rPr>
      <w:color w:val="0000FF" w:themeColor="hyperlink"/>
      <w:u w:val="single"/>
    </w:rPr>
  </w:style>
  <w:style w:type="character" w:styleId="aa">
    <w:name w:val="Unresolved Mention"/>
    <w:basedOn w:val="a0"/>
    <w:uiPriority w:val="99"/>
    <w:semiHidden/>
    <w:unhideWhenUsed/>
    <w:rsid w:val="003D0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3581332/4581686/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2022-06-23T12:40:00Z</dcterms:created>
  <dcterms:modified xsi:type="dcterms:W3CDTF">2022-06-23T12:41:00Z</dcterms:modified>
</cp:coreProperties>
</file>