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E5F4D" w14:textId="77777777" w:rsidR="005B6309" w:rsidRPr="005A2EEF" w:rsidRDefault="005B6309" w:rsidP="00496B87">
      <w:pPr>
        <w:pStyle w:val="AD"/>
        <w:spacing w:line="276" w:lineRule="auto"/>
        <w:jc w:val="center"/>
        <w:rPr>
          <w:b/>
          <w:bCs/>
          <w:color w:val="E36C0A" w:themeColor="accent6" w:themeShade="BF"/>
          <w:sz w:val="32"/>
          <w:szCs w:val="32"/>
        </w:rPr>
      </w:pPr>
      <w:r w:rsidRPr="005A2EEF">
        <w:rPr>
          <w:rFonts w:hint="eastAsia"/>
          <w:b/>
          <w:bCs/>
          <w:color w:val="E36C0A" w:themeColor="accent6" w:themeShade="BF"/>
          <w:sz w:val="32"/>
          <w:szCs w:val="32"/>
        </w:rPr>
        <w:t>关于支持实体经济若干措施的通知</w:t>
      </w:r>
    </w:p>
    <w:p w14:paraId="6D764E14" w14:textId="77777777" w:rsidR="005B6309" w:rsidRDefault="005B6309" w:rsidP="00496B87">
      <w:pPr>
        <w:pStyle w:val="AD"/>
        <w:spacing w:line="276" w:lineRule="auto"/>
        <w:jc w:val="center"/>
      </w:pPr>
      <w:r>
        <w:rPr>
          <w:rFonts w:hint="eastAsia"/>
        </w:rPr>
        <w:t>深证上〔</w:t>
      </w:r>
      <w:r>
        <w:rPr>
          <w:rFonts w:hint="eastAsia"/>
        </w:rPr>
        <w:t>2022</w:t>
      </w:r>
      <w:r>
        <w:rPr>
          <w:rFonts w:hint="eastAsia"/>
        </w:rPr>
        <w:t>〕</w:t>
      </w:r>
      <w:r>
        <w:rPr>
          <w:rFonts w:hint="eastAsia"/>
        </w:rPr>
        <w:t>439</w:t>
      </w:r>
      <w:r>
        <w:rPr>
          <w:rFonts w:hint="eastAsia"/>
        </w:rPr>
        <w:t>号</w:t>
      </w:r>
    </w:p>
    <w:p w14:paraId="2E78CC57" w14:textId="77777777" w:rsidR="005B6309" w:rsidRDefault="005B6309" w:rsidP="00496B87">
      <w:pPr>
        <w:pStyle w:val="AD"/>
        <w:spacing w:line="276" w:lineRule="auto"/>
      </w:pPr>
    </w:p>
    <w:p w14:paraId="6B43ED62" w14:textId="77777777" w:rsidR="005B6309" w:rsidRDefault="005B6309" w:rsidP="00496B87">
      <w:pPr>
        <w:pStyle w:val="AD"/>
        <w:spacing w:line="276" w:lineRule="auto"/>
      </w:pPr>
      <w:r>
        <w:rPr>
          <w:rFonts w:hint="eastAsia"/>
        </w:rPr>
        <w:t>各市场参与人：</w:t>
      </w:r>
    </w:p>
    <w:p w14:paraId="27F6C941" w14:textId="77777777" w:rsidR="005B6309" w:rsidRDefault="005B6309" w:rsidP="00496B87">
      <w:pPr>
        <w:pStyle w:val="AD"/>
        <w:spacing w:line="276" w:lineRule="auto"/>
      </w:pPr>
    </w:p>
    <w:p w14:paraId="419397CF" w14:textId="77777777" w:rsidR="005B6309" w:rsidRDefault="005B6309" w:rsidP="00496B87">
      <w:pPr>
        <w:pStyle w:val="AD"/>
        <w:spacing w:line="276" w:lineRule="auto"/>
      </w:pPr>
      <w:r>
        <w:rPr>
          <w:rFonts w:hint="eastAsia"/>
        </w:rPr>
        <w:t>当前，统筹疫情防控和经济社会发展处于关键阶段。深交所坚决贯彻落</w:t>
      </w:r>
      <w:proofErr w:type="gramStart"/>
      <w:r>
        <w:rPr>
          <w:rFonts w:hint="eastAsia"/>
        </w:rPr>
        <w:t>实习近</w:t>
      </w:r>
      <w:proofErr w:type="gramEnd"/>
      <w:r>
        <w:rPr>
          <w:rFonts w:hint="eastAsia"/>
        </w:rPr>
        <w:t>平总书记系列重要讲话精神和党中央国务院决策部署，按照中国证监会工作要求，坚持把支持实体经济发展、维护资本市场平稳运行作为重要政治任务，多方协调、迅速行动，深入了解受疫情影响市场主体实际困难，听取市场机构意见建议，优化自律监管服务，满足市场主体合理融资需求，加大对中小民营企业支持力度，与市场各方同舟共济、共克时艰，共同维护资本市场健康稳定发展。现将相关事项通知如下：</w:t>
      </w:r>
    </w:p>
    <w:p w14:paraId="5633A7D4" w14:textId="77777777" w:rsidR="005B6309" w:rsidRDefault="005B6309" w:rsidP="00496B87">
      <w:pPr>
        <w:pStyle w:val="AD"/>
        <w:spacing w:line="276" w:lineRule="auto"/>
      </w:pPr>
    </w:p>
    <w:p w14:paraId="16BA62BC" w14:textId="77777777" w:rsidR="005B6309" w:rsidRDefault="005B6309" w:rsidP="00496B87">
      <w:pPr>
        <w:pStyle w:val="AD"/>
        <w:spacing w:line="276" w:lineRule="auto"/>
      </w:pPr>
      <w:r>
        <w:rPr>
          <w:rFonts w:hint="eastAsia"/>
        </w:rPr>
        <w:t>1</w:t>
      </w:r>
      <w:r>
        <w:rPr>
          <w:rFonts w:hint="eastAsia"/>
        </w:rPr>
        <w:t>．支持中小企业健康发展。全力做好中小企业融资服务工作，支持中小企业疫后生产经营恢复，支持“专精特新”中小企业利用资本市场做大做强，持续完善民营企业债券融资机制，推出更多直达实体经济的创新产品，支持中小企业平稳健康发展。</w:t>
      </w:r>
    </w:p>
    <w:p w14:paraId="076A7D4C" w14:textId="77777777" w:rsidR="005B6309" w:rsidRDefault="005B6309" w:rsidP="00496B87">
      <w:pPr>
        <w:pStyle w:val="AD"/>
        <w:spacing w:line="276" w:lineRule="auto"/>
      </w:pPr>
    </w:p>
    <w:p w14:paraId="1B558C87" w14:textId="77777777" w:rsidR="005B6309" w:rsidRDefault="005B6309" w:rsidP="00496B87">
      <w:pPr>
        <w:pStyle w:val="AD"/>
        <w:spacing w:line="276" w:lineRule="auto"/>
      </w:pPr>
      <w:r>
        <w:rPr>
          <w:rFonts w:hint="eastAsia"/>
        </w:rPr>
        <w:t>2</w:t>
      </w:r>
      <w:r>
        <w:rPr>
          <w:rFonts w:hint="eastAsia"/>
        </w:rPr>
        <w:t>．支持房地产企业合理融资需求。支持</w:t>
      </w:r>
      <w:proofErr w:type="gramStart"/>
      <w:r>
        <w:rPr>
          <w:rFonts w:hint="eastAsia"/>
        </w:rPr>
        <w:t>房企正常</w:t>
      </w:r>
      <w:proofErr w:type="gramEnd"/>
      <w:r>
        <w:rPr>
          <w:rFonts w:hint="eastAsia"/>
        </w:rPr>
        <w:t>融资活动，允许</w:t>
      </w:r>
      <w:proofErr w:type="gramStart"/>
      <w:r>
        <w:rPr>
          <w:rFonts w:hint="eastAsia"/>
        </w:rPr>
        <w:t>优质房企进一步</w:t>
      </w:r>
      <w:proofErr w:type="gramEnd"/>
      <w:r>
        <w:rPr>
          <w:rFonts w:hint="eastAsia"/>
        </w:rPr>
        <w:t>拓宽债券募集资金用途，鼓励</w:t>
      </w:r>
      <w:proofErr w:type="gramStart"/>
      <w:r>
        <w:rPr>
          <w:rFonts w:hint="eastAsia"/>
        </w:rPr>
        <w:t>优质房企发行公司</w:t>
      </w:r>
      <w:proofErr w:type="gramEnd"/>
      <w:r>
        <w:rPr>
          <w:rFonts w:hint="eastAsia"/>
        </w:rPr>
        <w:t>债券兼并收购</w:t>
      </w:r>
      <w:proofErr w:type="gramStart"/>
      <w:r>
        <w:rPr>
          <w:rFonts w:hint="eastAsia"/>
        </w:rPr>
        <w:t>出险房企</w:t>
      </w:r>
      <w:proofErr w:type="gramEnd"/>
      <w:r>
        <w:rPr>
          <w:rFonts w:hint="eastAsia"/>
        </w:rPr>
        <w:t>项目，促进房地产行业平稳健康发展。</w:t>
      </w:r>
    </w:p>
    <w:p w14:paraId="3BFCC832" w14:textId="77777777" w:rsidR="005B6309" w:rsidRDefault="005B6309" w:rsidP="00496B87">
      <w:pPr>
        <w:pStyle w:val="AD"/>
        <w:spacing w:line="276" w:lineRule="auto"/>
      </w:pPr>
    </w:p>
    <w:p w14:paraId="6B9905FF" w14:textId="77777777" w:rsidR="005B6309" w:rsidRDefault="005B6309" w:rsidP="00496B87">
      <w:pPr>
        <w:pStyle w:val="AD"/>
        <w:spacing w:line="276" w:lineRule="auto"/>
      </w:pPr>
      <w:r>
        <w:rPr>
          <w:rFonts w:hint="eastAsia"/>
        </w:rPr>
        <w:t>3</w:t>
      </w:r>
      <w:r>
        <w:rPr>
          <w:rFonts w:hint="eastAsia"/>
        </w:rPr>
        <w:t>．支持市场主体增持回购。鼓励有条件的上市公司回购公司股票，支持大股东、董</w:t>
      </w:r>
      <w:proofErr w:type="gramStart"/>
      <w:r>
        <w:rPr>
          <w:rFonts w:hint="eastAsia"/>
        </w:rPr>
        <w:t>监高合规</w:t>
      </w:r>
      <w:proofErr w:type="gramEnd"/>
      <w:r>
        <w:rPr>
          <w:rFonts w:hint="eastAsia"/>
        </w:rPr>
        <w:t>增持股份，增强市场各方信心。</w:t>
      </w:r>
    </w:p>
    <w:p w14:paraId="6887EDB0" w14:textId="77777777" w:rsidR="005B6309" w:rsidRDefault="005B6309" w:rsidP="00496B87">
      <w:pPr>
        <w:pStyle w:val="AD"/>
        <w:spacing w:line="276" w:lineRule="auto"/>
      </w:pPr>
    </w:p>
    <w:p w14:paraId="41B66210" w14:textId="77777777" w:rsidR="005B6309" w:rsidRDefault="005B6309" w:rsidP="00496B87">
      <w:pPr>
        <w:pStyle w:val="AD"/>
        <w:spacing w:line="276" w:lineRule="auto"/>
      </w:pPr>
      <w:r>
        <w:rPr>
          <w:rFonts w:hint="eastAsia"/>
        </w:rPr>
        <w:t>4</w:t>
      </w:r>
      <w:r>
        <w:rPr>
          <w:rFonts w:hint="eastAsia"/>
        </w:rPr>
        <w:t>．优化信息披露业务操作安排。上市公司确因疫情影响无法使用</w:t>
      </w:r>
      <w:proofErr w:type="spellStart"/>
      <w:r>
        <w:rPr>
          <w:rFonts w:hint="eastAsia"/>
        </w:rPr>
        <w:t>EKey</w:t>
      </w:r>
      <w:proofErr w:type="spellEnd"/>
      <w:r>
        <w:rPr>
          <w:rFonts w:hint="eastAsia"/>
        </w:rPr>
        <w:t>通过本所技术平台提交信息披露文件的，可以通过电子邮件或传真方式提交。疫情防控期间，信息披露直通时段延长至</w:t>
      </w:r>
      <w:r>
        <w:rPr>
          <w:rFonts w:hint="eastAsia"/>
        </w:rPr>
        <w:t>21</w:t>
      </w:r>
      <w:r>
        <w:rPr>
          <w:rFonts w:hint="eastAsia"/>
        </w:rPr>
        <w:t>：</w:t>
      </w:r>
      <w:r>
        <w:rPr>
          <w:rFonts w:hint="eastAsia"/>
        </w:rPr>
        <w:t>30</w:t>
      </w:r>
      <w:r>
        <w:rPr>
          <w:rFonts w:hint="eastAsia"/>
        </w:rPr>
        <w:t>。</w:t>
      </w:r>
    </w:p>
    <w:p w14:paraId="0CDCD396" w14:textId="77777777" w:rsidR="005B6309" w:rsidRDefault="005B6309" w:rsidP="00496B87">
      <w:pPr>
        <w:pStyle w:val="AD"/>
        <w:spacing w:line="276" w:lineRule="auto"/>
      </w:pPr>
    </w:p>
    <w:p w14:paraId="0EADD7D2" w14:textId="77777777" w:rsidR="005B6309" w:rsidRDefault="005B6309" w:rsidP="00496B87">
      <w:pPr>
        <w:pStyle w:val="AD"/>
        <w:spacing w:line="276" w:lineRule="auto"/>
      </w:pPr>
      <w:r>
        <w:rPr>
          <w:rFonts w:hint="eastAsia"/>
        </w:rPr>
        <w:t>5</w:t>
      </w:r>
      <w:r>
        <w:rPr>
          <w:rFonts w:hint="eastAsia"/>
        </w:rPr>
        <w:t>．允许采用电子签章办理业务。因受疫情影响，在提交</w:t>
      </w:r>
      <w:r>
        <w:rPr>
          <w:rFonts w:hint="eastAsia"/>
        </w:rPr>
        <w:t>IPO</w:t>
      </w:r>
      <w:r>
        <w:rPr>
          <w:rFonts w:hint="eastAsia"/>
        </w:rPr>
        <w:t>、再融资、并购重组申报文件或信息披露文件时无法统一签名或盖章的市场主体，可以通过提供签字页电子扫描文档、电子签章等方式办理业务，提升业务办理效率。</w:t>
      </w:r>
    </w:p>
    <w:p w14:paraId="3E3D3ADA" w14:textId="77777777" w:rsidR="005B6309" w:rsidRDefault="005B6309" w:rsidP="00496B87">
      <w:pPr>
        <w:pStyle w:val="AD"/>
        <w:spacing w:line="276" w:lineRule="auto"/>
      </w:pPr>
    </w:p>
    <w:p w14:paraId="4E079370" w14:textId="77777777" w:rsidR="005B6309" w:rsidRDefault="005B6309" w:rsidP="00496B87">
      <w:pPr>
        <w:pStyle w:val="AD"/>
        <w:spacing w:line="276" w:lineRule="auto"/>
      </w:pPr>
      <w:r>
        <w:rPr>
          <w:rFonts w:hint="eastAsia"/>
        </w:rPr>
        <w:t>6</w:t>
      </w:r>
      <w:r>
        <w:rPr>
          <w:rFonts w:hint="eastAsia"/>
        </w:rPr>
        <w:t>．支持上市公司召开线</w:t>
      </w:r>
      <w:proofErr w:type="gramStart"/>
      <w:r>
        <w:rPr>
          <w:rFonts w:hint="eastAsia"/>
        </w:rPr>
        <w:t>上业绩</w:t>
      </w:r>
      <w:proofErr w:type="gramEnd"/>
      <w:r>
        <w:rPr>
          <w:rFonts w:hint="eastAsia"/>
        </w:rPr>
        <w:t>说明会。以“十新破局”为引领，支持上市公司通过网络方式召开</w:t>
      </w:r>
      <w:r>
        <w:rPr>
          <w:rFonts w:hint="eastAsia"/>
        </w:rPr>
        <w:t>2021</w:t>
      </w:r>
      <w:r>
        <w:rPr>
          <w:rFonts w:hint="eastAsia"/>
        </w:rPr>
        <w:t>年度业绩说明会。通过本所“互动易”平台“云访谈”栏目，免费提供上市公司与投资者互动渠道。</w:t>
      </w:r>
    </w:p>
    <w:p w14:paraId="13B00C27" w14:textId="77777777" w:rsidR="005B6309" w:rsidRDefault="005B6309" w:rsidP="00496B87">
      <w:pPr>
        <w:pStyle w:val="AD"/>
        <w:spacing w:line="276" w:lineRule="auto"/>
      </w:pPr>
    </w:p>
    <w:p w14:paraId="63CEED30" w14:textId="77777777" w:rsidR="005B6309" w:rsidRDefault="005B6309" w:rsidP="00496B87">
      <w:pPr>
        <w:pStyle w:val="AD"/>
        <w:spacing w:line="276" w:lineRule="auto"/>
      </w:pPr>
      <w:r>
        <w:rPr>
          <w:rFonts w:hint="eastAsia"/>
        </w:rPr>
        <w:t>7</w:t>
      </w:r>
      <w:r>
        <w:rPr>
          <w:rFonts w:hint="eastAsia"/>
        </w:rPr>
        <w:t>．支持上市公司召开线上股东大会。上市公司可以结合自身情况，召开线上股东大会。律师因疫情影响确实无法现场参会的，可以采取视频等方式见证股东大会。鼓励上市公司股东采取网络投票方式参加会议。允许公司因疫情影响变更股东大会相关事项，包括延期、取消股东大会，增加临时提案、变更地点等。</w:t>
      </w:r>
    </w:p>
    <w:p w14:paraId="146E2D0C" w14:textId="77777777" w:rsidR="005B6309" w:rsidRDefault="005B6309" w:rsidP="00496B87">
      <w:pPr>
        <w:pStyle w:val="AD"/>
        <w:spacing w:line="276" w:lineRule="auto"/>
      </w:pPr>
    </w:p>
    <w:p w14:paraId="61C2DA55" w14:textId="77777777" w:rsidR="005B6309" w:rsidRDefault="005B6309" w:rsidP="00496B87">
      <w:pPr>
        <w:pStyle w:val="AD"/>
        <w:spacing w:line="276" w:lineRule="auto"/>
      </w:pPr>
      <w:r>
        <w:rPr>
          <w:rFonts w:hint="eastAsia"/>
        </w:rPr>
        <w:lastRenderedPageBreak/>
        <w:t>8</w:t>
      </w:r>
      <w:r>
        <w:rPr>
          <w:rFonts w:hint="eastAsia"/>
        </w:rPr>
        <w:t>．加强投资者线上教育服务。持续通过互联网渠道开展投资者教育宣传，满足疫情防控期间投资者在线学习需求。支持会员、基金管理人、期权经营机构积极引导投资者秉持长期投资、价值投资理念。</w:t>
      </w:r>
    </w:p>
    <w:p w14:paraId="0B3ED8D5" w14:textId="77777777" w:rsidR="005B6309" w:rsidRDefault="005B6309" w:rsidP="00496B87">
      <w:pPr>
        <w:pStyle w:val="AD"/>
        <w:spacing w:line="276" w:lineRule="auto"/>
      </w:pPr>
    </w:p>
    <w:p w14:paraId="051110B7" w14:textId="77777777" w:rsidR="005B6309" w:rsidRDefault="005B6309" w:rsidP="00496B87">
      <w:pPr>
        <w:pStyle w:val="AD"/>
        <w:spacing w:line="276" w:lineRule="auto"/>
      </w:pPr>
      <w:r>
        <w:rPr>
          <w:rFonts w:hint="eastAsia"/>
        </w:rPr>
        <w:t>深交所将认真贯彻落实党中央国务院决策部署，按照中国证监会部署要求，想市场所想、</w:t>
      </w:r>
      <w:proofErr w:type="gramStart"/>
      <w:r>
        <w:rPr>
          <w:rFonts w:hint="eastAsia"/>
        </w:rPr>
        <w:t>急市场</w:t>
      </w:r>
      <w:proofErr w:type="gramEnd"/>
      <w:r>
        <w:rPr>
          <w:rFonts w:hint="eastAsia"/>
        </w:rPr>
        <w:t>所急、解市场所需，提升监管服务质效，引导市场理性投资，保护投资者合法权益，以更坚定的态度、更有力的措施、更积极的行动，与市场各方一道，共同维护资本市场健康稳定发展。</w:t>
      </w:r>
    </w:p>
    <w:p w14:paraId="7ABAEBD5" w14:textId="77777777" w:rsidR="005B6309" w:rsidRDefault="005B6309" w:rsidP="00496B87">
      <w:pPr>
        <w:pStyle w:val="AD"/>
        <w:spacing w:line="276" w:lineRule="auto"/>
      </w:pPr>
    </w:p>
    <w:p w14:paraId="6FF642C9" w14:textId="77777777" w:rsidR="005B6309" w:rsidRDefault="005B6309" w:rsidP="00496B87">
      <w:pPr>
        <w:pStyle w:val="AD"/>
        <w:spacing w:line="276" w:lineRule="auto"/>
      </w:pPr>
      <w:r>
        <w:rPr>
          <w:rFonts w:hint="eastAsia"/>
        </w:rPr>
        <w:t>特此通知</w:t>
      </w:r>
    </w:p>
    <w:p w14:paraId="54D7F82E" w14:textId="71CD9630" w:rsidR="005B6309" w:rsidRDefault="005B6309" w:rsidP="00496B87">
      <w:pPr>
        <w:pStyle w:val="AD"/>
        <w:spacing w:line="276" w:lineRule="auto"/>
      </w:pPr>
    </w:p>
    <w:p w14:paraId="7C58CD2E" w14:textId="77777777" w:rsidR="005B6309" w:rsidRDefault="005B6309" w:rsidP="00496B87">
      <w:pPr>
        <w:pStyle w:val="AD"/>
        <w:spacing w:line="276" w:lineRule="auto"/>
      </w:pPr>
    </w:p>
    <w:p w14:paraId="75C4610F" w14:textId="77777777" w:rsidR="005B6309" w:rsidRDefault="005B6309" w:rsidP="00496B87">
      <w:pPr>
        <w:pStyle w:val="AD"/>
        <w:spacing w:line="276" w:lineRule="auto"/>
        <w:jc w:val="right"/>
      </w:pPr>
      <w:r>
        <w:rPr>
          <w:rFonts w:hint="eastAsia"/>
        </w:rPr>
        <w:t>深圳证券交易所</w:t>
      </w:r>
    </w:p>
    <w:p w14:paraId="3765B9EA" w14:textId="71A43054" w:rsidR="00B15193" w:rsidRDefault="005B6309" w:rsidP="00496B87">
      <w:pPr>
        <w:pStyle w:val="AD"/>
        <w:spacing w:line="276" w:lineRule="auto"/>
        <w:jc w:val="right"/>
      </w:pPr>
      <w:r>
        <w:rPr>
          <w:rFonts w:hint="eastAsia"/>
        </w:rPr>
        <w:t>2022</w:t>
      </w:r>
      <w:r>
        <w:rPr>
          <w:rFonts w:hint="eastAsia"/>
        </w:rPr>
        <w:t>年</w:t>
      </w:r>
      <w:r>
        <w:rPr>
          <w:rFonts w:hint="eastAsia"/>
        </w:rPr>
        <w:t>5</w:t>
      </w:r>
      <w:r>
        <w:rPr>
          <w:rFonts w:hint="eastAsia"/>
        </w:rPr>
        <w:t>月</w:t>
      </w:r>
      <w:r>
        <w:rPr>
          <w:rFonts w:hint="eastAsia"/>
        </w:rPr>
        <w:t>4</w:t>
      </w:r>
      <w:r>
        <w:rPr>
          <w:rFonts w:hint="eastAsia"/>
        </w:rPr>
        <w:t>日</w:t>
      </w:r>
    </w:p>
    <w:p w14:paraId="42DEEBBE" w14:textId="7D06C125" w:rsidR="005B6309" w:rsidRDefault="005B6309" w:rsidP="00496B87">
      <w:pPr>
        <w:pStyle w:val="AD"/>
        <w:spacing w:line="276" w:lineRule="auto"/>
      </w:pPr>
    </w:p>
    <w:p w14:paraId="072CA294" w14:textId="5665BE3D" w:rsidR="005B6309" w:rsidRDefault="005B6309" w:rsidP="00496B87">
      <w:pPr>
        <w:pStyle w:val="AD"/>
        <w:spacing w:line="276" w:lineRule="auto"/>
      </w:pPr>
    </w:p>
    <w:p w14:paraId="18400606" w14:textId="700AE4C9" w:rsidR="005B6309" w:rsidRDefault="005B6309" w:rsidP="00496B87">
      <w:pPr>
        <w:pStyle w:val="AD"/>
        <w:spacing w:line="276" w:lineRule="auto"/>
      </w:pPr>
      <w:r>
        <w:rPr>
          <w:rFonts w:hint="eastAsia"/>
        </w:rPr>
        <w:t>信息来源：</w:t>
      </w:r>
      <w:hyperlink r:id="rId6" w:history="1">
        <w:r w:rsidRPr="00AF58E5">
          <w:rPr>
            <w:rStyle w:val="a9"/>
            <w:rFonts w:hint="eastAsia"/>
          </w:rPr>
          <w:t>http://www.szse.cn/aboutus/trends/news/t20220504_592700.html</w:t>
        </w:r>
      </w:hyperlink>
    </w:p>
    <w:p w14:paraId="491F1790" w14:textId="77777777" w:rsidR="005B6309" w:rsidRPr="005B6309" w:rsidRDefault="005B6309" w:rsidP="00496B87">
      <w:pPr>
        <w:pStyle w:val="AD"/>
        <w:spacing w:line="276" w:lineRule="auto"/>
      </w:pPr>
    </w:p>
    <w:sectPr w:rsidR="005B6309" w:rsidRPr="005B630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BFFF" w14:textId="77777777" w:rsidR="00905529" w:rsidRDefault="00905529" w:rsidP="00C20A6A">
      <w:pPr>
        <w:spacing w:line="240" w:lineRule="auto"/>
      </w:pPr>
      <w:r>
        <w:separator/>
      </w:r>
    </w:p>
  </w:endnote>
  <w:endnote w:type="continuationSeparator" w:id="0">
    <w:p w14:paraId="2B35A3D7" w14:textId="77777777" w:rsidR="00905529" w:rsidRDefault="0090552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C83C" w14:textId="77777777" w:rsidR="00905529" w:rsidRDefault="00905529" w:rsidP="00C20A6A">
      <w:pPr>
        <w:spacing w:line="240" w:lineRule="auto"/>
      </w:pPr>
      <w:r>
        <w:separator/>
      </w:r>
    </w:p>
  </w:footnote>
  <w:footnote w:type="continuationSeparator" w:id="0">
    <w:p w14:paraId="1E4FAE9F" w14:textId="77777777" w:rsidR="00905529" w:rsidRDefault="0090552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5F0E"/>
    <w:rsid w:val="000F4C6A"/>
    <w:rsid w:val="00176A25"/>
    <w:rsid w:val="001C4C6F"/>
    <w:rsid w:val="00250515"/>
    <w:rsid w:val="003D27E2"/>
    <w:rsid w:val="00405F0E"/>
    <w:rsid w:val="00496B87"/>
    <w:rsid w:val="005A2EEF"/>
    <w:rsid w:val="005B6309"/>
    <w:rsid w:val="005F7C76"/>
    <w:rsid w:val="007D7BDB"/>
    <w:rsid w:val="00905529"/>
    <w:rsid w:val="00A548E7"/>
    <w:rsid w:val="00B15193"/>
    <w:rsid w:val="00B731F1"/>
    <w:rsid w:val="00C20A6A"/>
    <w:rsid w:val="00C22624"/>
    <w:rsid w:val="00C44B69"/>
    <w:rsid w:val="00D02718"/>
    <w:rsid w:val="00F6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5372"/>
  <w15:chartTrackingRefBased/>
  <w15:docId w15:val="{DCD8161C-0822-440F-BED6-442FB8B2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B6309"/>
    <w:pPr>
      <w:ind w:leftChars="2500" w:left="100"/>
    </w:pPr>
  </w:style>
  <w:style w:type="character" w:customStyle="1" w:styleId="a8">
    <w:name w:val="日期 字符"/>
    <w:basedOn w:val="a0"/>
    <w:link w:val="a7"/>
    <w:uiPriority w:val="99"/>
    <w:semiHidden/>
    <w:rsid w:val="005B6309"/>
    <w:rPr>
      <w:rFonts w:ascii="Arial" w:eastAsia="宋体" w:hAnsi="Arial"/>
      <w:sz w:val="22"/>
    </w:rPr>
  </w:style>
  <w:style w:type="character" w:styleId="a9">
    <w:name w:val="Hyperlink"/>
    <w:basedOn w:val="a0"/>
    <w:uiPriority w:val="99"/>
    <w:unhideWhenUsed/>
    <w:rsid w:val="005B6309"/>
    <w:rPr>
      <w:color w:val="0000FF" w:themeColor="hyperlink"/>
      <w:u w:val="single"/>
    </w:rPr>
  </w:style>
  <w:style w:type="character" w:styleId="aa">
    <w:name w:val="Unresolved Mention"/>
    <w:basedOn w:val="a0"/>
    <w:uiPriority w:val="99"/>
    <w:semiHidden/>
    <w:unhideWhenUsed/>
    <w:rsid w:val="005B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zse.cn/aboutus/trends/news/t20220504_59270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2022-05-12T07:11:00Z</dcterms:created>
  <dcterms:modified xsi:type="dcterms:W3CDTF">2022-05-12T13:15:00Z</dcterms:modified>
</cp:coreProperties>
</file>