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40255" w14:textId="1B77DD17" w:rsidR="00D11B00" w:rsidRPr="009A49F7" w:rsidRDefault="00D11B00" w:rsidP="004366A1">
      <w:pPr>
        <w:pStyle w:val="AD"/>
        <w:spacing w:line="276" w:lineRule="auto"/>
        <w:jc w:val="center"/>
        <w:rPr>
          <w:rFonts w:hint="eastAsia"/>
          <w:b/>
          <w:bCs/>
          <w:color w:val="E36C0A" w:themeColor="accent6" w:themeShade="BF"/>
          <w:sz w:val="32"/>
          <w:szCs w:val="32"/>
        </w:rPr>
      </w:pPr>
      <w:r w:rsidRPr="009A49F7">
        <w:rPr>
          <w:rFonts w:hint="eastAsia"/>
          <w:b/>
          <w:bCs/>
          <w:color w:val="E36C0A" w:themeColor="accent6" w:themeShade="BF"/>
          <w:sz w:val="32"/>
          <w:szCs w:val="32"/>
        </w:rPr>
        <w:t>关于规范和促进商业养老金融业务发展的通知</w:t>
      </w:r>
    </w:p>
    <w:p w14:paraId="6DECD593" w14:textId="31CA4B89" w:rsidR="00D02A43" w:rsidRDefault="00D02A43" w:rsidP="004366A1">
      <w:pPr>
        <w:pStyle w:val="AD"/>
        <w:spacing w:line="276" w:lineRule="auto"/>
        <w:jc w:val="center"/>
      </w:pPr>
      <w:bookmarkStart w:id="0" w:name="_GoBack"/>
      <w:bookmarkEnd w:id="0"/>
      <w:r>
        <w:rPr>
          <w:rFonts w:hint="eastAsia"/>
        </w:rPr>
        <w:t>银保监规〔</w:t>
      </w:r>
      <w:r>
        <w:rPr>
          <w:rFonts w:hint="eastAsia"/>
        </w:rPr>
        <w:t>2022</w:t>
      </w:r>
      <w:r>
        <w:rPr>
          <w:rFonts w:hint="eastAsia"/>
        </w:rPr>
        <w:t>〕</w:t>
      </w:r>
      <w:r>
        <w:rPr>
          <w:rFonts w:hint="eastAsia"/>
        </w:rPr>
        <w:t>8</w:t>
      </w:r>
      <w:r>
        <w:rPr>
          <w:rFonts w:hint="eastAsia"/>
        </w:rPr>
        <w:t>号</w:t>
      </w:r>
    </w:p>
    <w:p w14:paraId="38C0863C" w14:textId="77777777" w:rsidR="00D02A43" w:rsidRDefault="00D02A43" w:rsidP="004366A1">
      <w:pPr>
        <w:pStyle w:val="AD"/>
        <w:spacing w:line="276" w:lineRule="auto"/>
        <w:rPr>
          <w:rFonts w:hint="eastAsia"/>
        </w:rPr>
      </w:pPr>
    </w:p>
    <w:p w14:paraId="51DA45C7" w14:textId="77777777" w:rsidR="00D11B00" w:rsidRDefault="00D11B00" w:rsidP="004366A1">
      <w:pPr>
        <w:pStyle w:val="AD"/>
        <w:spacing w:line="276" w:lineRule="auto"/>
        <w:rPr>
          <w:rFonts w:hint="eastAsia"/>
        </w:rPr>
      </w:pPr>
      <w:r>
        <w:rPr>
          <w:rFonts w:hint="eastAsia"/>
        </w:rPr>
        <w:t>各银保监局，各大型银行、股份制银行、理财公司、人身保险公司，建信养老金管理有限责任公司：</w:t>
      </w:r>
    </w:p>
    <w:p w14:paraId="3DB3C766" w14:textId="77777777" w:rsidR="00D11B00" w:rsidRDefault="00D11B00" w:rsidP="004366A1">
      <w:pPr>
        <w:pStyle w:val="AD"/>
        <w:spacing w:line="276" w:lineRule="auto"/>
      </w:pPr>
    </w:p>
    <w:p w14:paraId="34F5614F" w14:textId="77777777" w:rsidR="00D11B00" w:rsidRDefault="00D11B00" w:rsidP="004366A1">
      <w:pPr>
        <w:pStyle w:val="AD"/>
        <w:spacing w:line="276" w:lineRule="auto"/>
        <w:rPr>
          <w:rFonts w:hint="eastAsia"/>
        </w:rPr>
      </w:pPr>
      <w:r>
        <w:rPr>
          <w:rFonts w:hint="eastAsia"/>
        </w:rPr>
        <w:t>为深入贯彻党中央、国务院关于规范发展第三支柱养老保险的决策部署，推动银行保险机构更好服务多层次、多支柱养老保险体系建设，现就有关事项通知如下：</w:t>
      </w:r>
    </w:p>
    <w:p w14:paraId="44A2D197" w14:textId="77777777" w:rsidR="00D11B00" w:rsidRDefault="00D11B00" w:rsidP="004366A1">
      <w:pPr>
        <w:pStyle w:val="AD"/>
        <w:spacing w:line="276" w:lineRule="auto"/>
      </w:pPr>
    </w:p>
    <w:p w14:paraId="354F690B" w14:textId="77777777" w:rsidR="00D11B00" w:rsidRDefault="00D11B00" w:rsidP="004366A1">
      <w:pPr>
        <w:pStyle w:val="AD"/>
        <w:spacing w:line="276" w:lineRule="auto"/>
        <w:rPr>
          <w:rFonts w:hint="eastAsia"/>
        </w:rPr>
      </w:pPr>
      <w:r>
        <w:rPr>
          <w:rFonts w:hint="eastAsia"/>
        </w:rPr>
        <w:t>一、支持和鼓励银行保险机构依法合规发展商业养老储蓄、商业养老理财、商业养老保险、商业养老金等养老金融业务，向客户提供养老财务规划、资金管理、风险保障等服务，逐步形成多元主体参与、多类产品供给、满足多样化需求的发展格局。</w:t>
      </w:r>
    </w:p>
    <w:p w14:paraId="427DA702" w14:textId="77777777" w:rsidR="00D11B00" w:rsidRDefault="00D11B00" w:rsidP="004366A1">
      <w:pPr>
        <w:pStyle w:val="AD"/>
        <w:spacing w:line="276" w:lineRule="auto"/>
      </w:pPr>
    </w:p>
    <w:p w14:paraId="697CD3A9" w14:textId="77777777" w:rsidR="00D11B00" w:rsidRDefault="00D11B00" w:rsidP="004366A1">
      <w:pPr>
        <w:pStyle w:val="AD"/>
        <w:spacing w:line="276" w:lineRule="auto"/>
        <w:rPr>
          <w:rFonts w:hint="eastAsia"/>
        </w:rPr>
      </w:pPr>
      <w:r>
        <w:rPr>
          <w:rFonts w:hint="eastAsia"/>
        </w:rPr>
        <w:t>二、银行保险机构开展商业养老金融业务应体现养老属性，产品期限符合客户长期养老需求和生命周期特点，并对资金领取设置相应的约束性要求。</w:t>
      </w:r>
    </w:p>
    <w:p w14:paraId="74D0F5B9" w14:textId="77777777" w:rsidR="00D11B00" w:rsidRDefault="00D11B00" w:rsidP="004366A1">
      <w:pPr>
        <w:pStyle w:val="AD"/>
        <w:spacing w:line="276" w:lineRule="auto"/>
      </w:pPr>
    </w:p>
    <w:p w14:paraId="0F6FB9AA" w14:textId="77777777" w:rsidR="00D11B00" w:rsidRDefault="00D11B00" w:rsidP="004366A1">
      <w:pPr>
        <w:pStyle w:val="AD"/>
        <w:spacing w:line="276" w:lineRule="auto"/>
        <w:rPr>
          <w:rFonts w:hint="eastAsia"/>
        </w:rPr>
      </w:pPr>
      <w:r>
        <w:rPr>
          <w:rFonts w:hint="eastAsia"/>
        </w:rPr>
        <w:t>三、银行保险机构应在产品合同中与客户对特殊情形下的流动性安排作出明确约定，但不得以期限结构化设计等方式变相缩短业务存续期限。</w:t>
      </w:r>
    </w:p>
    <w:p w14:paraId="4C32612F" w14:textId="77777777" w:rsidR="00D11B00" w:rsidRDefault="00D11B00" w:rsidP="004366A1">
      <w:pPr>
        <w:pStyle w:val="AD"/>
        <w:spacing w:line="276" w:lineRule="auto"/>
      </w:pPr>
    </w:p>
    <w:p w14:paraId="43C72B48" w14:textId="77777777" w:rsidR="00D11B00" w:rsidRDefault="00D11B00" w:rsidP="004366A1">
      <w:pPr>
        <w:pStyle w:val="AD"/>
        <w:spacing w:line="276" w:lineRule="auto"/>
        <w:rPr>
          <w:rFonts w:hint="eastAsia"/>
        </w:rPr>
      </w:pPr>
      <w:r>
        <w:rPr>
          <w:rFonts w:hint="eastAsia"/>
        </w:rPr>
        <w:t>四、银行保险机构应当落实客户适当性管理要求，充分了解客户年龄、退休计划、财务状况、风险偏好等信息，合理评估客户养老需求、风险承受能力等，向其推介销售适当的养老金融产品。</w:t>
      </w:r>
    </w:p>
    <w:p w14:paraId="4AD42F83" w14:textId="77777777" w:rsidR="00D11B00" w:rsidRDefault="00D11B00" w:rsidP="004366A1">
      <w:pPr>
        <w:pStyle w:val="AD"/>
        <w:spacing w:line="276" w:lineRule="auto"/>
      </w:pPr>
    </w:p>
    <w:p w14:paraId="492FA3EF" w14:textId="77777777" w:rsidR="00D11B00" w:rsidRDefault="00D11B00" w:rsidP="004366A1">
      <w:pPr>
        <w:pStyle w:val="AD"/>
        <w:spacing w:line="276" w:lineRule="auto"/>
        <w:rPr>
          <w:rFonts w:hint="eastAsia"/>
        </w:rPr>
      </w:pPr>
      <w:r>
        <w:rPr>
          <w:rFonts w:hint="eastAsia"/>
        </w:rPr>
        <w:t>五、银行保险机构经营商业养老金融业务，应当按照监管规定进行信息披露和风险提示，及时、准确、全面披露期限、费用、风险、权益等关键信息。商业养老金融产品宣传材料和销售文件应当简明易懂，不得包含与事实不符或者引人误解的宣传。商业养老理财产品不得宣传预期收益率。</w:t>
      </w:r>
    </w:p>
    <w:p w14:paraId="43B0DE84" w14:textId="77777777" w:rsidR="00D11B00" w:rsidRDefault="00D11B00" w:rsidP="004366A1">
      <w:pPr>
        <w:pStyle w:val="AD"/>
        <w:spacing w:line="276" w:lineRule="auto"/>
      </w:pPr>
    </w:p>
    <w:p w14:paraId="73554DDC" w14:textId="77777777" w:rsidR="00D11B00" w:rsidRDefault="00D11B00" w:rsidP="004366A1">
      <w:pPr>
        <w:pStyle w:val="AD"/>
        <w:spacing w:line="276" w:lineRule="auto"/>
        <w:rPr>
          <w:rFonts w:hint="eastAsia"/>
        </w:rPr>
      </w:pPr>
      <w:r>
        <w:rPr>
          <w:rFonts w:hint="eastAsia"/>
        </w:rPr>
        <w:t>六、支持和鼓励银行保险机构向客户提供长期直至终身的养老金领取服务，探索将商业养老金融产品与养老、健康、长期照护等服务相衔接，丰富养老金领取形式。</w:t>
      </w:r>
    </w:p>
    <w:p w14:paraId="2A98DDF2" w14:textId="77777777" w:rsidR="00D11B00" w:rsidRDefault="00D11B00" w:rsidP="004366A1">
      <w:pPr>
        <w:pStyle w:val="AD"/>
        <w:spacing w:line="276" w:lineRule="auto"/>
      </w:pPr>
    </w:p>
    <w:p w14:paraId="45874B7B" w14:textId="77777777" w:rsidR="00D11B00" w:rsidRDefault="00D11B00" w:rsidP="004366A1">
      <w:pPr>
        <w:pStyle w:val="AD"/>
        <w:spacing w:line="276" w:lineRule="auto"/>
        <w:rPr>
          <w:rFonts w:hint="eastAsia"/>
        </w:rPr>
      </w:pPr>
      <w:r>
        <w:rPr>
          <w:rFonts w:hint="eastAsia"/>
        </w:rPr>
        <w:t>七、银行保险机构应当持续开展客户教育，提高社会公众对商业养老金融产品的认知度和接受度，逐步培育成熟的养老金融理念和长期投资理念，引导客户合理规划、持续投入、长期持有、长期领取，切实提高养老保障水平。</w:t>
      </w:r>
    </w:p>
    <w:p w14:paraId="72677ADB" w14:textId="77777777" w:rsidR="00D11B00" w:rsidRDefault="00D11B00" w:rsidP="004366A1">
      <w:pPr>
        <w:pStyle w:val="AD"/>
        <w:spacing w:line="276" w:lineRule="auto"/>
      </w:pPr>
    </w:p>
    <w:p w14:paraId="06E12736" w14:textId="77777777" w:rsidR="00D11B00" w:rsidRDefault="00D11B00" w:rsidP="004366A1">
      <w:pPr>
        <w:pStyle w:val="AD"/>
        <w:spacing w:line="276" w:lineRule="auto"/>
        <w:rPr>
          <w:rFonts w:hint="eastAsia"/>
        </w:rPr>
      </w:pPr>
      <w:r>
        <w:rPr>
          <w:rFonts w:hint="eastAsia"/>
        </w:rPr>
        <w:t>八、银行保险机构应当立足实际，制定合理的商业养老金融发展规划，有序开展普惠性产品创新和业务经营，将长期经营效果纳入销售、投资、管理人员考核评价体系，推动商业养老金融业务持续健康发展。</w:t>
      </w:r>
    </w:p>
    <w:p w14:paraId="06A9FBA4" w14:textId="77777777" w:rsidR="00D11B00" w:rsidRDefault="00D11B00" w:rsidP="004366A1">
      <w:pPr>
        <w:pStyle w:val="AD"/>
        <w:spacing w:line="276" w:lineRule="auto"/>
      </w:pPr>
    </w:p>
    <w:p w14:paraId="42277ED2" w14:textId="77777777" w:rsidR="00D11B00" w:rsidRDefault="00D11B00" w:rsidP="004366A1">
      <w:pPr>
        <w:pStyle w:val="AD"/>
        <w:spacing w:line="276" w:lineRule="auto"/>
        <w:rPr>
          <w:rFonts w:hint="eastAsia"/>
        </w:rPr>
      </w:pPr>
      <w:r>
        <w:rPr>
          <w:rFonts w:hint="eastAsia"/>
        </w:rPr>
        <w:lastRenderedPageBreak/>
        <w:t>九、支持和鼓励银行保险机构之间开展业务合作，优化商业养老金融产品设计、渠道推广、市场营销、投资管理、风险管控等。商业养老金融业务合作费用水平原则上不高于本机构其他同类型业务。</w:t>
      </w:r>
    </w:p>
    <w:p w14:paraId="003919A2" w14:textId="77777777" w:rsidR="00D11B00" w:rsidRDefault="00D11B00" w:rsidP="004366A1">
      <w:pPr>
        <w:pStyle w:val="AD"/>
        <w:spacing w:line="276" w:lineRule="auto"/>
      </w:pPr>
    </w:p>
    <w:p w14:paraId="2998F913" w14:textId="77777777" w:rsidR="00D11B00" w:rsidRDefault="00D11B00" w:rsidP="004366A1">
      <w:pPr>
        <w:pStyle w:val="AD"/>
        <w:spacing w:line="276" w:lineRule="auto"/>
        <w:rPr>
          <w:rFonts w:hint="eastAsia"/>
        </w:rPr>
      </w:pPr>
      <w:r>
        <w:rPr>
          <w:rFonts w:hint="eastAsia"/>
        </w:rPr>
        <w:t>十、银行保险机构应当加强商业养老资金投资管理，采用成熟稳健的资产配置策略，有效管控商业养老资金投资风险。鼓励积极投向符合国家战略和产业政策的领域，为资本市场和科技创新提供支持。</w:t>
      </w:r>
    </w:p>
    <w:p w14:paraId="6C982199" w14:textId="77777777" w:rsidR="00D11B00" w:rsidRDefault="00D11B00" w:rsidP="004366A1">
      <w:pPr>
        <w:pStyle w:val="AD"/>
        <w:spacing w:line="276" w:lineRule="auto"/>
      </w:pPr>
    </w:p>
    <w:p w14:paraId="234DCEB0" w14:textId="77777777" w:rsidR="00D11B00" w:rsidRDefault="00D11B00" w:rsidP="004366A1">
      <w:pPr>
        <w:pStyle w:val="AD"/>
        <w:spacing w:line="276" w:lineRule="auto"/>
        <w:rPr>
          <w:rFonts w:hint="eastAsia"/>
        </w:rPr>
      </w:pPr>
      <w:r>
        <w:rPr>
          <w:rFonts w:hint="eastAsia"/>
        </w:rPr>
        <w:t>十一、符合银保监会规定的银行理财、储蓄存款、商业养老保险等运作安全、成熟稳定、标的规范、侧重长期保值的满足不同投资者偏好的金融产品可纳入个人养老金投资范围，享受国家规定的税收优惠政策。</w:t>
      </w:r>
    </w:p>
    <w:p w14:paraId="7AFF032F" w14:textId="77777777" w:rsidR="00D11B00" w:rsidRDefault="00D11B00" w:rsidP="004366A1">
      <w:pPr>
        <w:pStyle w:val="AD"/>
        <w:spacing w:line="276" w:lineRule="auto"/>
      </w:pPr>
    </w:p>
    <w:p w14:paraId="242A2CB2" w14:textId="77777777" w:rsidR="00D11B00" w:rsidRDefault="00D11B00" w:rsidP="004366A1">
      <w:pPr>
        <w:pStyle w:val="AD"/>
        <w:spacing w:line="276" w:lineRule="auto"/>
        <w:rPr>
          <w:rFonts w:hint="eastAsia"/>
        </w:rPr>
      </w:pPr>
      <w:r>
        <w:rPr>
          <w:rFonts w:hint="eastAsia"/>
        </w:rPr>
        <w:t>十二、对于符合本通知规定的商业养老金融产品，银行保险机构可在产品名称和营销宣传中使用“养老”字样。其他金融产品不得在名称和营销宣传中使用“养老”或其他可能造成混淆的字样。</w:t>
      </w:r>
    </w:p>
    <w:p w14:paraId="01015DA4" w14:textId="77777777" w:rsidR="00D11B00" w:rsidRDefault="00D11B00" w:rsidP="004366A1">
      <w:pPr>
        <w:pStyle w:val="AD"/>
        <w:spacing w:line="276" w:lineRule="auto"/>
      </w:pPr>
    </w:p>
    <w:p w14:paraId="2C72202A" w14:textId="77777777" w:rsidR="00D11B00" w:rsidRDefault="00D11B00" w:rsidP="004366A1">
      <w:pPr>
        <w:pStyle w:val="AD"/>
        <w:spacing w:line="276" w:lineRule="auto"/>
        <w:rPr>
          <w:rFonts w:hint="eastAsia"/>
        </w:rPr>
      </w:pPr>
      <w:r>
        <w:rPr>
          <w:rFonts w:hint="eastAsia"/>
        </w:rPr>
        <w:t>十三、银行保险机构应当按照依法合规、稳妥有序、保护客户合法权益的原则，对名称中带有“养老”但不符合本通知规定的金融产品进行更名或清理，并于</w:t>
      </w:r>
      <w:r>
        <w:rPr>
          <w:rFonts w:hint="eastAsia"/>
        </w:rPr>
        <w:t>2022</w:t>
      </w:r>
      <w:r>
        <w:rPr>
          <w:rFonts w:hint="eastAsia"/>
        </w:rPr>
        <w:t>年</w:t>
      </w:r>
      <w:r>
        <w:rPr>
          <w:rFonts w:hint="eastAsia"/>
        </w:rPr>
        <w:t>6</w:t>
      </w:r>
      <w:r>
        <w:rPr>
          <w:rFonts w:hint="eastAsia"/>
        </w:rPr>
        <w:t>月</w:t>
      </w:r>
      <w:r>
        <w:rPr>
          <w:rFonts w:hint="eastAsia"/>
        </w:rPr>
        <w:t>30</w:t>
      </w:r>
      <w:r>
        <w:rPr>
          <w:rFonts w:hint="eastAsia"/>
        </w:rPr>
        <w:t>日前向监管部门报送整改情况。各银行保险机构法人应向其直接监管责任单位报送。</w:t>
      </w:r>
    </w:p>
    <w:p w14:paraId="7B4D139D" w14:textId="77777777" w:rsidR="00D11B00" w:rsidRDefault="00D11B00" w:rsidP="004366A1">
      <w:pPr>
        <w:pStyle w:val="AD"/>
        <w:spacing w:line="276" w:lineRule="auto"/>
      </w:pPr>
    </w:p>
    <w:p w14:paraId="4668D1E9" w14:textId="5DAE08E5" w:rsidR="00D11B00" w:rsidRDefault="00D11B00" w:rsidP="004366A1">
      <w:pPr>
        <w:pStyle w:val="AD"/>
        <w:spacing w:line="276" w:lineRule="auto"/>
        <w:jc w:val="right"/>
      </w:pPr>
      <w:r>
        <w:rPr>
          <w:rFonts w:hint="eastAsia"/>
        </w:rPr>
        <w:t>中国银保监会</w:t>
      </w:r>
    </w:p>
    <w:p w14:paraId="5DB026EC" w14:textId="2C774F28" w:rsidR="00B15193" w:rsidRDefault="00D11B00" w:rsidP="004366A1">
      <w:pPr>
        <w:pStyle w:val="AD"/>
        <w:spacing w:line="276" w:lineRule="auto"/>
        <w:jc w:val="right"/>
      </w:pPr>
      <w:r>
        <w:rPr>
          <w:rFonts w:hint="eastAsia"/>
        </w:rPr>
        <w:t>2022</w:t>
      </w:r>
      <w:r>
        <w:rPr>
          <w:rFonts w:hint="eastAsia"/>
        </w:rPr>
        <w:t>年</w:t>
      </w:r>
      <w:r>
        <w:rPr>
          <w:rFonts w:hint="eastAsia"/>
        </w:rPr>
        <w:t>4</w:t>
      </w:r>
      <w:r>
        <w:rPr>
          <w:rFonts w:hint="eastAsia"/>
        </w:rPr>
        <w:t>月</w:t>
      </w:r>
      <w:r>
        <w:rPr>
          <w:rFonts w:hint="eastAsia"/>
        </w:rPr>
        <w:t>28</w:t>
      </w:r>
      <w:r>
        <w:rPr>
          <w:rFonts w:hint="eastAsia"/>
        </w:rPr>
        <w:t>日</w:t>
      </w:r>
    </w:p>
    <w:p w14:paraId="782486DF" w14:textId="2C5714F2" w:rsidR="00D11B00" w:rsidRDefault="00D11B00" w:rsidP="004366A1">
      <w:pPr>
        <w:pStyle w:val="AD"/>
        <w:spacing w:line="276" w:lineRule="auto"/>
      </w:pPr>
    </w:p>
    <w:p w14:paraId="23CB4C2D" w14:textId="49362008" w:rsidR="00D11B00" w:rsidRDefault="00D11B00" w:rsidP="004366A1">
      <w:pPr>
        <w:pStyle w:val="AD"/>
        <w:spacing w:line="276" w:lineRule="auto"/>
      </w:pPr>
    </w:p>
    <w:p w14:paraId="6397DD7C" w14:textId="77777777" w:rsidR="00D11B00" w:rsidRDefault="00D11B00" w:rsidP="004366A1">
      <w:pPr>
        <w:pStyle w:val="AD"/>
        <w:spacing w:line="276" w:lineRule="auto"/>
      </w:pPr>
      <w:r>
        <w:rPr>
          <w:rFonts w:hint="eastAsia"/>
        </w:rPr>
        <w:t>信息来源：</w:t>
      </w:r>
    </w:p>
    <w:p w14:paraId="3C77A9E6" w14:textId="318D55FB" w:rsidR="00D11B00" w:rsidRDefault="00FE4191" w:rsidP="004366A1">
      <w:pPr>
        <w:pStyle w:val="AD"/>
        <w:spacing w:line="276" w:lineRule="auto"/>
      </w:pPr>
      <w:hyperlink r:id="rId6" w:history="1">
        <w:r w:rsidRPr="00AF58E5">
          <w:rPr>
            <w:rStyle w:val="a9"/>
          </w:rPr>
          <w:t>http://www.cbirc.gov.cn/cn/view/pages/govermentDetail.html?docId=1050361&amp;itemId=861&amp;generaltype=1</w:t>
        </w:r>
      </w:hyperlink>
    </w:p>
    <w:p w14:paraId="256AC58A" w14:textId="77777777" w:rsidR="00D11B00" w:rsidRPr="00D11B00" w:rsidRDefault="00D11B00" w:rsidP="004366A1">
      <w:pPr>
        <w:pStyle w:val="AD"/>
        <w:spacing w:line="276" w:lineRule="auto"/>
        <w:rPr>
          <w:rFonts w:hint="eastAsia"/>
        </w:rPr>
      </w:pPr>
    </w:p>
    <w:sectPr w:rsidR="00D11B00" w:rsidRPr="00D11B0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C2997" w14:textId="77777777" w:rsidR="000B7D6E" w:rsidRDefault="000B7D6E" w:rsidP="00C20A6A">
      <w:pPr>
        <w:spacing w:line="240" w:lineRule="auto"/>
      </w:pPr>
      <w:r>
        <w:separator/>
      </w:r>
    </w:p>
  </w:endnote>
  <w:endnote w:type="continuationSeparator" w:id="0">
    <w:p w14:paraId="30D74F0C" w14:textId="77777777" w:rsidR="000B7D6E" w:rsidRDefault="000B7D6E"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FF1BF" w14:textId="77777777" w:rsidR="000B7D6E" w:rsidRDefault="000B7D6E" w:rsidP="00C20A6A">
      <w:pPr>
        <w:spacing w:line="240" w:lineRule="auto"/>
      </w:pPr>
      <w:r>
        <w:separator/>
      </w:r>
    </w:p>
  </w:footnote>
  <w:footnote w:type="continuationSeparator" w:id="0">
    <w:p w14:paraId="3E75DA20" w14:textId="77777777" w:rsidR="000B7D6E" w:rsidRDefault="000B7D6E"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A1689"/>
    <w:rsid w:val="000B7D6E"/>
    <w:rsid w:val="000F4C6A"/>
    <w:rsid w:val="00137E00"/>
    <w:rsid w:val="00176A25"/>
    <w:rsid w:val="001C4C6F"/>
    <w:rsid w:val="003A1689"/>
    <w:rsid w:val="003D27E2"/>
    <w:rsid w:val="004366A1"/>
    <w:rsid w:val="005F7C76"/>
    <w:rsid w:val="007D7BDB"/>
    <w:rsid w:val="009A49F7"/>
    <w:rsid w:val="00A548E7"/>
    <w:rsid w:val="00B15193"/>
    <w:rsid w:val="00B731F1"/>
    <w:rsid w:val="00C20A6A"/>
    <w:rsid w:val="00C22624"/>
    <w:rsid w:val="00D02718"/>
    <w:rsid w:val="00D02A43"/>
    <w:rsid w:val="00D11B00"/>
    <w:rsid w:val="00FE4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15143"/>
  <w15:chartTrackingRefBased/>
  <w15:docId w15:val="{39554FFE-6AC0-4A50-B46B-2978C6AC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D11B00"/>
    <w:pPr>
      <w:ind w:leftChars="2500" w:left="100"/>
    </w:pPr>
  </w:style>
  <w:style w:type="character" w:customStyle="1" w:styleId="a8">
    <w:name w:val="日期 字符"/>
    <w:basedOn w:val="a0"/>
    <w:link w:val="a7"/>
    <w:uiPriority w:val="99"/>
    <w:semiHidden/>
    <w:rsid w:val="00D11B00"/>
    <w:rPr>
      <w:rFonts w:ascii="Arial" w:eastAsia="宋体" w:hAnsi="Arial"/>
      <w:sz w:val="22"/>
    </w:rPr>
  </w:style>
  <w:style w:type="character" w:styleId="a9">
    <w:name w:val="Hyperlink"/>
    <w:basedOn w:val="a0"/>
    <w:uiPriority w:val="99"/>
    <w:unhideWhenUsed/>
    <w:rsid w:val="00D11B00"/>
    <w:rPr>
      <w:color w:val="0000FF" w:themeColor="hyperlink"/>
      <w:u w:val="single"/>
    </w:rPr>
  </w:style>
  <w:style w:type="character" w:styleId="aa">
    <w:name w:val="Unresolved Mention"/>
    <w:basedOn w:val="a0"/>
    <w:uiPriority w:val="99"/>
    <w:semiHidden/>
    <w:unhideWhenUsed/>
    <w:rsid w:val="00D11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irc.gov.cn/cn/view/pages/govermentDetail.html?docId=1050361&amp;itemId=861&amp;generaltype=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7</cp:revision>
  <dcterms:created xsi:type="dcterms:W3CDTF">2022-05-12T07:05:00Z</dcterms:created>
  <dcterms:modified xsi:type="dcterms:W3CDTF">2022-05-12T07:05:00Z</dcterms:modified>
</cp:coreProperties>
</file>