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EB3B" w14:textId="49D5ECCB" w:rsidR="003D6D2C" w:rsidRPr="00267F24" w:rsidRDefault="003D6D2C" w:rsidP="009B5299">
      <w:pPr>
        <w:pStyle w:val="AD"/>
        <w:spacing w:line="276" w:lineRule="auto"/>
        <w:jc w:val="center"/>
        <w:rPr>
          <w:rFonts w:hint="eastAsia"/>
          <w:b/>
          <w:bCs/>
          <w:color w:val="E36C0A" w:themeColor="accent6" w:themeShade="BF"/>
          <w:sz w:val="32"/>
          <w:szCs w:val="32"/>
        </w:rPr>
      </w:pPr>
      <w:bookmarkStart w:id="0" w:name="_GoBack"/>
      <w:bookmarkEnd w:id="0"/>
      <w:r w:rsidRPr="00267F24">
        <w:rPr>
          <w:rFonts w:hint="eastAsia"/>
          <w:b/>
          <w:bCs/>
          <w:color w:val="E36C0A" w:themeColor="accent6" w:themeShade="BF"/>
          <w:sz w:val="32"/>
          <w:szCs w:val="32"/>
        </w:rPr>
        <w:t>关于推动个人养老金发展的意见</w:t>
      </w:r>
    </w:p>
    <w:p w14:paraId="05D57F8D" w14:textId="77777777" w:rsidR="003D6D2C" w:rsidRDefault="003D6D2C" w:rsidP="009B5299">
      <w:pPr>
        <w:pStyle w:val="AD"/>
        <w:spacing w:line="276" w:lineRule="auto"/>
        <w:jc w:val="center"/>
        <w:rPr>
          <w:rFonts w:hint="eastAsia"/>
        </w:rPr>
      </w:pPr>
      <w:r>
        <w:rPr>
          <w:rFonts w:hint="eastAsia"/>
        </w:rPr>
        <w:t>国办发〔</w:t>
      </w:r>
      <w:r>
        <w:rPr>
          <w:rFonts w:hint="eastAsia"/>
        </w:rPr>
        <w:t>2022</w:t>
      </w:r>
      <w:r>
        <w:rPr>
          <w:rFonts w:hint="eastAsia"/>
        </w:rPr>
        <w:t>〕</w:t>
      </w:r>
      <w:r>
        <w:rPr>
          <w:rFonts w:hint="eastAsia"/>
        </w:rPr>
        <w:t>7</w:t>
      </w:r>
      <w:r>
        <w:rPr>
          <w:rFonts w:hint="eastAsia"/>
        </w:rPr>
        <w:t>号</w:t>
      </w:r>
    </w:p>
    <w:p w14:paraId="6F05AE71" w14:textId="77777777" w:rsidR="003D6D2C" w:rsidRDefault="003D6D2C" w:rsidP="009B5299">
      <w:pPr>
        <w:pStyle w:val="AD"/>
        <w:spacing w:line="276" w:lineRule="auto"/>
      </w:pPr>
    </w:p>
    <w:p w14:paraId="480207E2" w14:textId="77777777" w:rsidR="003D6D2C" w:rsidRDefault="003D6D2C" w:rsidP="009B5299">
      <w:pPr>
        <w:pStyle w:val="AD"/>
        <w:spacing w:line="276" w:lineRule="auto"/>
        <w:rPr>
          <w:rFonts w:hint="eastAsia"/>
        </w:rPr>
      </w:pPr>
      <w:r>
        <w:rPr>
          <w:rFonts w:hint="eastAsia"/>
        </w:rPr>
        <w:t>各省、自治区、直辖市人民政府，国务院各部委、各直属机构：</w:t>
      </w:r>
    </w:p>
    <w:p w14:paraId="10F5330F" w14:textId="77777777" w:rsidR="003D6D2C" w:rsidRDefault="003D6D2C" w:rsidP="009B5299">
      <w:pPr>
        <w:pStyle w:val="AD"/>
        <w:spacing w:line="276" w:lineRule="auto"/>
      </w:pPr>
    </w:p>
    <w:p w14:paraId="29B484A4" w14:textId="77777777" w:rsidR="003D6D2C" w:rsidRDefault="003D6D2C" w:rsidP="009B5299">
      <w:pPr>
        <w:pStyle w:val="AD"/>
        <w:spacing w:line="276" w:lineRule="auto"/>
        <w:rPr>
          <w:rFonts w:hint="eastAsia"/>
        </w:rPr>
      </w:pPr>
      <w:r>
        <w:rPr>
          <w:rFonts w:hint="eastAsia"/>
        </w:rPr>
        <w:t>为推进多层次、多支柱养老保险体系建设，促进养老保险制度可持续发展，满足人民群众日益增长的多样化养老保险需要，根据《中华人民共和国社会保险法》、《中华人民共和国银行业监督管理法》、《中华人民共和国保险法》、《中华人民共和国证券投资基金法》等法律法规，经党中央、国务院同意，现就推动个人养老金发展提出以下意见：</w:t>
      </w:r>
    </w:p>
    <w:p w14:paraId="0D515848" w14:textId="77777777" w:rsidR="003D6D2C" w:rsidRDefault="003D6D2C" w:rsidP="009B5299">
      <w:pPr>
        <w:pStyle w:val="AD"/>
        <w:spacing w:line="276" w:lineRule="auto"/>
      </w:pPr>
    </w:p>
    <w:p w14:paraId="04B46753" w14:textId="77777777" w:rsidR="003D6D2C" w:rsidRDefault="003D6D2C" w:rsidP="009B5299">
      <w:pPr>
        <w:pStyle w:val="AD"/>
        <w:spacing w:line="276" w:lineRule="auto"/>
        <w:rPr>
          <w:rFonts w:hint="eastAsia"/>
        </w:rPr>
      </w:pPr>
      <w:r>
        <w:rPr>
          <w:rFonts w:hint="eastAsia"/>
        </w:rPr>
        <w:t>一、总体要求</w:t>
      </w:r>
    </w:p>
    <w:p w14:paraId="17EC923A" w14:textId="77777777" w:rsidR="003D6D2C" w:rsidRDefault="003D6D2C" w:rsidP="009B5299">
      <w:pPr>
        <w:pStyle w:val="AD"/>
        <w:spacing w:line="276" w:lineRule="auto"/>
      </w:pPr>
    </w:p>
    <w:p w14:paraId="69B281F3" w14:textId="77777777" w:rsidR="003D6D2C" w:rsidRDefault="003D6D2C" w:rsidP="009B5299">
      <w:pPr>
        <w:pStyle w:val="AD"/>
        <w:spacing w:line="276" w:lineRule="auto"/>
        <w:rPr>
          <w:rFonts w:hint="eastAsia"/>
        </w:rPr>
      </w:pPr>
      <w:r>
        <w:rPr>
          <w:rFonts w:hint="eastAsia"/>
        </w:rPr>
        <w:t>以习近平新时代中国特色社会主义思想为指导，全面贯彻党的十九大和十九届历次全会精神，认真落实党中央、国务院决策部署，坚持以人民为中心的发展思想，完整、准确、全面贯彻新发展理念，加快构建新发展格局，推动发展适合中国国情、政府政策支持、个人自愿参加、市场化运营的个人养老金，与基本养老保险、企业（职业）年金相衔接，实现养老保险补充功能，协调发展其他个人商业养老金融业务，健全多层次、多支柱养老保险体系。</w:t>
      </w:r>
    </w:p>
    <w:p w14:paraId="0030410A" w14:textId="77777777" w:rsidR="003D6D2C" w:rsidRDefault="003D6D2C" w:rsidP="009B5299">
      <w:pPr>
        <w:pStyle w:val="AD"/>
        <w:spacing w:line="276" w:lineRule="auto"/>
      </w:pPr>
    </w:p>
    <w:p w14:paraId="563BD67A" w14:textId="77777777" w:rsidR="003D6D2C" w:rsidRDefault="003D6D2C" w:rsidP="009B5299">
      <w:pPr>
        <w:pStyle w:val="AD"/>
        <w:spacing w:line="276" w:lineRule="auto"/>
        <w:rPr>
          <w:rFonts w:hint="eastAsia"/>
        </w:rPr>
      </w:pPr>
      <w:r>
        <w:rPr>
          <w:rFonts w:hint="eastAsia"/>
        </w:rPr>
        <w:t>推动个人养老金发展坚持政府引导、市场运作、有序发展的原则。注重发挥政府引导作用，在多层次、多支柱养老保险体系中统筹布局个人养老金；充分发挥市场作用，营造公开公平公正的竞争环境，调动各方面积极性；严格监督管理，切实防范风险，促进个人养老金健康有序发展。</w:t>
      </w:r>
    </w:p>
    <w:p w14:paraId="509FE8DA" w14:textId="77777777" w:rsidR="003D6D2C" w:rsidRDefault="003D6D2C" w:rsidP="009B5299">
      <w:pPr>
        <w:pStyle w:val="AD"/>
        <w:spacing w:line="276" w:lineRule="auto"/>
      </w:pPr>
    </w:p>
    <w:p w14:paraId="21B4D5F4" w14:textId="77777777" w:rsidR="003D6D2C" w:rsidRDefault="003D6D2C" w:rsidP="009B5299">
      <w:pPr>
        <w:pStyle w:val="AD"/>
        <w:spacing w:line="276" w:lineRule="auto"/>
        <w:rPr>
          <w:rFonts w:hint="eastAsia"/>
        </w:rPr>
      </w:pPr>
      <w:r>
        <w:rPr>
          <w:rFonts w:hint="eastAsia"/>
        </w:rPr>
        <w:t>二、参加范围</w:t>
      </w:r>
    </w:p>
    <w:p w14:paraId="3180B48E" w14:textId="77777777" w:rsidR="003D6D2C" w:rsidRDefault="003D6D2C" w:rsidP="009B5299">
      <w:pPr>
        <w:pStyle w:val="AD"/>
        <w:spacing w:line="276" w:lineRule="auto"/>
      </w:pPr>
    </w:p>
    <w:p w14:paraId="319B66EE" w14:textId="77777777" w:rsidR="003D6D2C" w:rsidRDefault="003D6D2C" w:rsidP="009B5299">
      <w:pPr>
        <w:pStyle w:val="AD"/>
        <w:spacing w:line="276" w:lineRule="auto"/>
        <w:rPr>
          <w:rFonts w:hint="eastAsia"/>
        </w:rPr>
      </w:pPr>
      <w:r>
        <w:rPr>
          <w:rFonts w:hint="eastAsia"/>
        </w:rPr>
        <w:t>在中国境内参加城镇职工基本养老保险或者城乡居民基本养老保险的劳动者，可以参加个人养老金制度。</w:t>
      </w:r>
    </w:p>
    <w:p w14:paraId="31C88CE8" w14:textId="77777777" w:rsidR="003D6D2C" w:rsidRDefault="003D6D2C" w:rsidP="009B5299">
      <w:pPr>
        <w:pStyle w:val="AD"/>
        <w:spacing w:line="276" w:lineRule="auto"/>
      </w:pPr>
    </w:p>
    <w:p w14:paraId="75D26EF4" w14:textId="77777777" w:rsidR="003D6D2C" w:rsidRDefault="003D6D2C" w:rsidP="009B5299">
      <w:pPr>
        <w:pStyle w:val="AD"/>
        <w:spacing w:line="276" w:lineRule="auto"/>
        <w:rPr>
          <w:rFonts w:hint="eastAsia"/>
        </w:rPr>
      </w:pPr>
      <w:r>
        <w:rPr>
          <w:rFonts w:hint="eastAsia"/>
        </w:rPr>
        <w:t>三、制度模式</w:t>
      </w:r>
    </w:p>
    <w:p w14:paraId="24F77C35" w14:textId="77777777" w:rsidR="003D6D2C" w:rsidRDefault="003D6D2C" w:rsidP="009B5299">
      <w:pPr>
        <w:pStyle w:val="AD"/>
        <w:spacing w:line="276" w:lineRule="auto"/>
      </w:pPr>
    </w:p>
    <w:p w14:paraId="4564B094" w14:textId="77777777" w:rsidR="003D6D2C" w:rsidRDefault="003D6D2C" w:rsidP="009B5299">
      <w:pPr>
        <w:pStyle w:val="AD"/>
        <w:spacing w:line="276" w:lineRule="auto"/>
        <w:rPr>
          <w:rFonts w:hint="eastAsia"/>
        </w:rPr>
      </w:pPr>
      <w:r>
        <w:rPr>
          <w:rFonts w:hint="eastAsia"/>
        </w:rPr>
        <w:t>个人养老金实行个人账户制度，缴费完全由参加人个人承担，实行完全积累。参加人通过个人养老金信息管理服务平台（以下简称信息平台），建立个人养老金账户。个人养老金账户是参加个人养老金制度、享受税收优惠政策的基础。</w:t>
      </w:r>
    </w:p>
    <w:p w14:paraId="42D707DD" w14:textId="77777777" w:rsidR="003D6D2C" w:rsidRDefault="003D6D2C" w:rsidP="009B5299">
      <w:pPr>
        <w:pStyle w:val="AD"/>
        <w:spacing w:line="276" w:lineRule="auto"/>
      </w:pPr>
    </w:p>
    <w:p w14:paraId="4E558AEB" w14:textId="77777777" w:rsidR="003D6D2C" w:rsidRDefault="003D6D2C" w:rsidP="009B5299">
      <w:pPr>
        <w:pStyle w:val="AD"/>
        <w:spacing w:line="276" w:lineRule="auto"/>
        <w:rPr>
          <w:rFonts w:hint="eastAsia"/>
        </w:rPr>
      </w:pPr>
      <w:r>
        <w:rPr>
          <w:rFonts w:hint="eastAsia"/>
        </w:rPr>
        <w:t>参加人可以用缴纳的个人养老金在符合规定的金融机构或者其依法合规委托的销售渠道（以下统称金融产品销售机构）购买金融产品，并承担相应的风险。参加人应当指定或者开立一个本人唯一的个人养老金资金账户，用于个人养老金缴费、归集收益、支付和缴纳个人所得税。个人养老金资金账户可以由参加人在符合规定的商业银行指定或者开立，也可以通过其他符合规定的金融产品销售机构指定。个人养老金资金账户实行封闭运行，其权益归参加人所有，除另</w:t>
      </w:r>
      <w:r>
        <w:rPr>
          <w:rFonts w:hint="eastAsia"/>
        </w:rPr>
        <w:lastRenderedPageBreak/>
        <w:t>有规定外不得提前支取。</w:t>
      </w:r>
    </w:p>
    <w:p w14:paraId="42BF26D9" w14:textId="77777777" w:rsidR="003D6D2C" w:rsidRDefault="003D6D2C" w:rsidP="009B5299">
      <w:pPr>
        <w:pStyle w:val="AD"/>
        <w:spacing w:line="276" w:lineRule="auto"/>
      </w:pPr>
    </w:p>
    <w:p w14:paraId="3A4225A1" w14:textId="77777777" w:rsidR="003D6D2C" w:rsidRDefault="003D6D2C" w:rsidP="009B5299">
      <w:pPr>
        <w:pStyle w:val="AD"/>
        <w:spacing w:line="276" w:lineRule="auto"/>
        <w:rPr>
          <w:rFonts w:hint="eastAsia"/>
        </w:rPr>
      </w:pPr>
      <w:r>
        <w:rPr>
          <w:rFonts w:hint="eastAsia"/>
        </w:rPr>
        <w:t>参加人变更个人养老金资金账户开户银行时，应当经信息平台核验后，将原个人养老金资金账户内的资金转移至新的个人养老金资金账户并注销原资金账户。</w:t>
      </w:r>
    </w:p>
    <w:p w14:paraId="16AA6051" w14:textId="77777777" w:rsidR="003D6D2C" w:rsidRDefault="003D6D2C" w:rsidP="009B5299">
      <w:pPr>
        <w:pStyle w:val="AD"/>
        <w:spacing w:line="276" w:lineRule="auto"/>
      </w:pPr>
    </w:p>
    <w:p w14:paraId="213DBA33" w14:textId="77777777" w:rsidR="003D6D2C" w:rsidRDefault="003D6D2C" w:rsidP="009B5299">
      <w:pPr>
        <w:pStyle w:val="AD"/>
        <w:spacing w:line="276" w:lineRule="auto"/>
        <w:rPr>
          <w:rFonts w:hint="eastAsia"/>
        </w:rPr>
      </w:pPr>
      <w:r>
        <w:rPr>
          <w:rFonts w:hint="eastAsia"/>
        </w:rPr>
        <w:t>四、缴费水平</w:t>
      </w:r>
    </w:p>
    <w:p w14:paraId="581D07E6" w14:textId="77777777" w:rsidR="003D6D2C" w:rsidRDefault="003D6D2C" w:rsidP="009B5299">
      <w:pPr>
        <w:pStyle w:val="AD"/>
        <w:spacing w:line="276" w:lineRule="auto"/>
      </w:pPr>
    </w:p>
    <w:p w14:paraId="6CC4E66F" w14:textId="77777777" w:rsidR="003D6D2C" w:rsidRDefault="003D6D2C" w:rsidP="009B5299">
      <w:pPr>
        <w:pStyle w:val="AD"/>
        <w:spacing w:line="276" w:lineRule="auto"/>
        <w:rPr>
          <w:rFonts w:hint="eastAsia"/>
        </w:rPr>
      </w:pPr>
      <w:r>
        <w:rPr>
          <w:rFonts w:hint="eastAsia"/>
        </w:rPr>
        <w:t>参加人每年缴纳个人养老金的上限为</w:t>
      </w:r>
      <w:r>
        <w:rPr>
          <w:rFonts w:hint="eastAsia"/>
        </w:rPr>
        <w:t>12000</w:t>
      </w:r>
      <w:r>
        <w:rPr>
          <w:rFonts w:hint="eastAsia"/>
        </w:rPr>
        <w:t>元。人力资源社会保障部、财政部根据经济社会发展水平和多层次、多支柱养老保险体系发展情况等因素适时调整缴费上限。</w:t>
      </w:r>
    </w:p>
    <w:p w14:paraId="58C90F08" w14:textId="77777777" w:rsidR="003D6D2C" w:rsidRDefault="003D6D2C" w:rsidP="009B5299">
      <w:pPr>
        <w:pStyle w:val="AD"/>
        <w:spacing w:line="276" w:lineRule="auto"/>
      </w:pPr>
    </w:p>
    <w:p w14:paraId="34529686" w14:textId="77777777" w:rsidR="003D6D2C" w:rsidRDefault="003D6D2C" w:rsidP="009B5299">
      <w:pPr>
        <w:pStyle w:val="AD"/>
        <w:spacing w:line="276" w:lineRule="auto"/>
        <w:rPr>
          <w:rFonts w:hint="eastAsia"/>
        </w:rPr>
      </w:pPr>
      <w:r>
        <w:rPr>
          <w:rFonts w:hint="eastAsia"/>
        </w:rPr>
        <w:t>五、税收政策</w:t>
      </w:r>
    </w:p>
    <w:p w14:paraId="5F656CBE" w14:textId="77777777" w:rsidR="003D6D2C" w:rsidRDefault="003D6D2C" w:rsidP="009B5299">
      <w:pPr>
        <w:pStyle w:val="AD"/>
        <w:spacing w:line="276" w:lineRule="auto"/>
      </w:pPr>
    </w:p>
    <w:p w14:paraId="51099B99" w14:textId="77777777" w:rsidR="003D6D2C" w:rsidRDefault="003D6D2C" w:rsidP="009B5299">
      <w:pPr>
        <w:pStyle w:val="AD"/>
        <w:spacing w:line="276" w:lineRule="auto"/>
        <w:rPr>
          <w:rFonts w:hint="eastAsia"/>
        </w:rPr>
      </w:pPr>
      <w:r>
        <w:rPr>
          <w:rFonts w:hint="eastAsia"/>
        </w:rPr>
        <w:t>国家制定税收优惠政策，鼓励符合条件的人员参加个人养老金制度并依规领取个人养老金。</w:t>
      </w:r>
    </w:p>
    <w:p w14:paraId="78A32FF8" w14:textId="77777777" w:rsidR="003D6D2C" w:rsidRDefault="003D6D2C" w:rsidP="009B5299">
      <w:pPr>
        <w:pStyle w:val="AD"/>
        <w:spacing w:line="276" w:lineRule="auto"/>
      </w:pPr>
    </w:p>
    <w:p w14:paraId="277432CF" w14:textId="77777777" w:rsidR="003D6D2C" w:rsidRDefault="003D6D2C" w:rsidP="009B5299">
      <w:pPr>
        <w:pStyle w:val="AD"/>
        <w:spacing w:line="276" w:lineRule="auto"/>
        <w:rPr>
          <w:rFonts w:hint="eastAsia"/>
        </w:rPr>
      </w:pPr>
      <w:r>
        <w:rPr>
          <w:rFonts w:hint="eastAsia"/>
        </w:rPr>
        <w:t>六、个人养老金投资</w:t>
      </w:r>
    </w:p>
    <w:p w14:paraId="2FCDF077" w14:textId="77777777" w:rsidR="003D6D2C" w:rsidRDefault="003D6D2C" w:rsidP="009B5299">
      <w:pPr>
        <w:pStyle w:val="AD"/>
        <w:spacing w:line="276" w:lineRule="auto"/>
      </w:pPr>
    </w:p>
    <w:p w14:paraId="0A8EC0BA" w14:textId="77777777" w:rsidR="003D6D2C" w:rsidRDefault="003D6D2C" w:rsidP="009B5299">
      <w:pPr>
        <w:pStyle w:val="AD"/>
        <w:spacing w:line="276" w:lineRule="auto"/>
        <w:rPr>
          <w:rFonts w:hint="eastAsia"/>
        </w:rPr>
      </w:pPr>
      <w:r>
        <w:rPr>
          <w:rFonts w:hint="eastAsia"/>
        </w:rPr>
        <w:t>个人养老金资金账户资金用于购买符合规定的银行理财、储蓄存款、商业养老保险、公募基金等运作安全、成熟稳定、标的规范、侧重长期保值的满足不同投资者偏好的金融产品，参加人可自主选择。参与个人养老金运行的金融机构和金融产品由相关金融监管部门确定，并通过信息平台和金融行业平台向社会发布。</w:t>
      </w:r>
    </w:p>
    <w:p w14:paraId="21845B97" w14:textId="77777777" w:rsidR="003D6D2C" w:rsidRDefault="003D6D2C" w:rsidP="009B5299">
      <w:pPr>
        <w:pStyle w:val="AD"/>
        <w:spacing w:line="276" w:lineRule="auto"/>
      </w:pPr>
    </w:p>
    <w:p w14:paraId="6DBA7649" w14:textId="77777777" w:rsidR="003D6D2C" w:rsidRDefault="003D6D2C" w:rsidP="009B5299">
      <w:pPr>
        <w:pStyle w:val="AD"/>
        <w:spacing w:line="276" w:lineRule="auto"/>
        <w:rPr>
          <w:rFonts w:hint="eastAsia"/>
        </w:rPr>
      </w:pPr>
      <w:r>
        <w:rPr>
          <w:rFonts w:hint="eastAsia"/>
        </w:rPr>
        <w:t>七、个人养老金领取</w:t>
      </w:r>
    </w:p>
    <w:p w14:paraId="2558C4D5" w14:textId="77777777" w:rsidR="003D6D2C" w:rsidRDefault="003D6D2C" w:rsidP="009B5299">
      <w:pPr>
        <w:pStyle w:val="AD"/>
        <w:spacing w:line="276" w:lineRule="auto"/>
      </w:pPr>
    </w:p>
    <w:p w14:paraId="5983F206" w14:textId="77777777" w:rsidR="003D6D2C" w:rsidRDefault="003D6D2C" w:rsidP="009B5299">
      <w:pPr>
        <w:pStyle w:val="AD"/>
        <w:spacing w:line="276" w:lineRule="auto"/>
        <w:rPr>
          <w:rFonts w:hint="eastAsia"/>
        </w:rPr>
      </w:pPr>
      <w:r>
        <w:rPr>
          <w:rFonts w:hint="eastAsia"/>
        </w:rPr>
        <w:t>参加人达到领取基本养老金年龄、完全丧失劳动能力、出国（境）定居，或者具有其他符合国家规定的情形，经信息平台核验领取条件后，可以按月、分次或者一次性领取个人养老金，领取方式一经确定不得更改。领取时，应将个人养老金由个人养老金资金账户转入本人社会保障卡银行账户。</w:t>
      </w:r>
    </w:p>
    <w:p w14:paraId="35E8B76F" w14:textId="77777777" w:rsidR="003D6D2C" w:rsidRDefault="003D6D2C" w:rsidP="009B5299">
      <w:pPr>
        <w:pStyle w:val="AD"/>
        <w:spacing w:line="276" w:lineRule="auto"/>
      </w:pPr>
    </w:p>
    <w:p w14:paraId="3BD1DC57" w14:textId="77777777" w:rsidR="003D6D2C" w:rsidRDefault="003D6D2C" w:rsidP="009B5299">
      <w:pPr>
        <w:pStyle w:val="AD"/>
        <w:spacing w:line="276" w:lineRule="auto"/>
        <w:rPr>
          <w:rFonts w:hint="eastAsia"/>
        </w:rPr>
      </w:pPr>
      <w:r>
        <w:rPr>
          <w:rFonts w:hint="eastAsia"/>
        </w:rPr>
        <w:t>参加人死亡后，其个人养老金资金账户中的资产可以继承。</w:t>
      </w:r>
    </w:p>
    <w:p w14:paraId="7CFEC63A" w14:textId="77777777" w:rsidR="003D6D2C" w:rsidRDefault="003D6D2C" w:rsidP="009B5299">
      <w:pPr>
        <w:pStyle w:val="AD"/>
        <w:spacing w:line="276" w:lineRule="auto"/>
      </w:pPr>
    </w:p>
    <w:p w14:paraId="550789FE" w14:textId="77777777" w:rsidR="003D6D2C" w:rsidRDefault="003D6D2C" w:rsidP="009B5299">
      <w:pPr>
        <w:pStyle w:val="AD"/>
        <w:spacing w:line="276" w:lineRule="auto"/>
        <w:rPr>
          <w:rFonts w:hint="eastAsia"/>
        </w:rPr>
      </w:pPr>
      <w:r>
        <w:rPr>
          <w:rFonts w:hint="eastAsia"/>
        </w:rPr>
        <w:t>八、信息平台</w:t>
      </w:r>
    </w:p>
    <w:p w14:paraId="1D45B6E8" w14:textId="77777777" w:rsidR="003D6D2C" w:rsidRDefault="003D6D2C" w:rsidP="009B5299">
      <w:pPr>
        <w:pStyle w:val="AD"/>
        <w:spacing w:line="276" w:lineRule="auto"/>
      </w:pPr>
    </w:p>
    <w:p w14:paraId="1686AFC3" w14:textId="77777777" w:rsidR="003D6D2C" w:rsidRDefault="003D6D2C" w:rsidP="009B5299">
      <w:pPr>
        <w:pStyle w:val="AD"/>
        <w:spacing w:line="276" w:lineRule="auto"/>
        <w:rPr>
          <w:rFonts w:hint="eastAsia"/>
        </w:rPr>
      </w:pPr>
      <w:r>
        <w:rPr>
          <w:rFonts w:hint="eastAsia"/>
        </w:rPr>
        <w:t>信息平台由人力资源社会保障部组织建设，与符合规定的商业银行以及相关金融行业平台对接，归集相关信息，与财政、税务等部门共享相关信息，为参加人提供个人养老金账户管理、缴费管理、信息查询等服务，支持参加人享受税收优惠政策，为个人养老金运行提供信息核验和综合监管支撑，为相关金融监管部门、参与个人养老金运行的金融机构提供相关信息服务。不断提升信息平台的规范化、信息化、专业化管理水平，运用“互联网</w:t>
      </w:r>
      <w:r>
        <w:rPr>
          <w:rFonts w:hint="eastAsia"/>
        </w:rPr>
        <w:t>+</w:t>
      </w:r>
      <w:r>
        <w:rPr>
          <w:rFonts w:hint="eastAsia"/>
        </w:rPr>
        <w:t>”创新服务方式，为参加人提供方便快捷的服务。</w:t>
      </w:r>
    </w:p>
    <w:p w14:paraId="48117846" w14:textId="77777777" w:rsidR="003D6D2C" w:rsidRDefault="003D6D2C" w:rsidP="009B5299">
      <w:pPr>
        <w:pStyle w:val="AD"/>
        <w:spacing w:line="276" w:lineRule="auto"/>
      </w:pPr>
    </w:p>
    <w:p w14:paraId="613FE441" w14:textId="77777777" w:rsidR="003D6D2C" w:rsidRDefault="003D6D2C" w:rsidP="009B5299">
      <w:pPr>
        <w:pStyle w:val="AD"/>
        <w:spacing w:line="276" w:lineRule="auto"/>
        <w:rPr>
          <w:rFonts w:hint="eastAsia"/>
        </w:rPr>
      </w:pPr>
      <w:r>
        <w:rPr>
          <w:rFonts w:hint="eastAsia"/>
        </w:rPr>
        <w:lastRenderedPageBreak/>
        <w:t>九、运营和监管</w:t>
      </w:r>
    </w:p>
    <w:p w14:paraId="6B246EBF" w14:textId="77777777" w:rsidR="003D6D2C" w:rsidRDefault="003D6D2C" w:rsidP="009B5299">
      <w:pPr>
        <w:pStyle w:val="AD"/>
        <w:spacing w:line="276" w:lineRule="auto"/>
      </w:pPr>
    </w:p>
    <w:p w14:paraId="6FB98D1F" w14:textId="77777777" w:rsidR="003D6D2C" w:rsidRDefault="003D6D2C" w:rsidP="009B5299">
      <w:pPr>
        <w:pStyle w:val="AD"/>
        <w:spacing w:line="276" w:lineRule="auto"/>
        <w:rPr>
          <w:rFonts w:hint="eastAsia"/>
        </w:rPr>
      </w:pPr>
      <w:r>
        <w:rPr>
          <w:rFonts w:hint="eastAsia"/>
        </w:rPr>
        <w:t>人力资源社会保障部、财政部对个人养老金发展进行宏观指导，根据职责对个人养老金的账户设置、缴费上限、待遇领取、税收优惠等制定具体政策并进行运行监管，定期向社会披露相关信息。税务部门依法对个人养老金实施税收征管。相关金融监管部门根据各自职责，依法依规对参与个人养老金运行金融机构的经营活动进行监管，督促相关金融机构优化产品和服务，做好产品风险提示，对产品的风险性进行监管，加强对投资者的教育。</w:t>
      </w:r>
    </w:p>
    <w:p w14:paraId="3C67C24B" w14:textId="77777777" w:rsidR="003D6D2C" w:rsidRDefault="003D6D2C" w:rsidP="009B5299">
      <w:pPr>
        <w:pStyle w:val="AD"/>
        <w:spacing w:line="276" w:lineRule="auto"/>
      </w:pPr>
    </w:p>
    <w:p w14:paraId="73957D9A" w14:textId="77777777" w:rsidR="003D6D2C" w:rsidRDefault="003D6D2C" w:rsidP="009B5299">
      <w:pPr>
        <w:pStyle w:val="AD"/>
        <w:spacing w:line="276" w:lineRule="auto"/>
        <w:rPr>
          <w:rFonts w:hint="eastAsia"/>
        </w:rPr>
      </w:pPr>
      <w:r>
        <w:rPr>
          <w:rFonts w:hint="eastAsia"/>
        </w:rPr>
        <w:t>各参与部门要建立和完善投诉机制，积极发挥社会监督作用，及时发现解决个人养老金运行中出现的问题。</w:t>
      </w:r>
    </w:p>
    <w:p w14:paraId="49006C4A" w14:textId="77777777" w:rsidR="003D6D2C" w:rsidRDefault="003D6D2C" w:rsidP="009B5299">
      <w:pPr>
        <w:pStyle w:val="AD"/>
        <w:spacing w:line="276" w:lineRule="auto"/>
      </w:pPr>
    </w:p>
    <w:p w14:paraId="304729BA" w14:textId="77777777" w:rsidR="003D6D2C" w:rsidRDefault="003D6D2C" w:rsidP="009B5299">
      <w:pPr>
        <w:pStyle w:val="AD"/>
        <w:spacing w:line="276" w:lineRule="auto"/>
        <w:rPr>
          <w:rFonts w:hint="eastAsia"/>
        </w:rPr>
      </w:pPr>
      <w:r>
        <w:rPr>
          <w:rFonts w:hint="eastAsia"/>
        </w:rPr>
        <w:t>十、组织领导</w:t>
      </w:r>
    </w:p>
    <w:p w14:paraId="35188C0E" w14:textId="77777777" w:rsidR="003D6D2C" w:rsidRDefault="003D6D2C" w:rsidP="009B5299">
      <w:pPr>
        <w:pStyle w:val="AD"/>
        <w:spacing w:line="276" w:lineRule="auto"/>
      </w:pPr>
    </w:p>
    <w:p w14:paraId="09C1B381" w14:textId="77777777" w:rsidR="003D6D2C" w:rsidRDefault="003D6D2C" w:rsidP="009B5299">
      <w:pPr>
        <w:pStyle w:val="AD"/>
        <w:spacing w:line="276" w:lineRule="auto"/>
        <w:rPr>
          <w:rFonts w:hint="eastAsia"/>
        </w:rPr>
      </w:pPr>
      <w:r>
        <w:rPr>
          <w:rFonts w:hint="eastAsia"/>
        </w:rPr>
        <w:t>推动个人养老金发展是健全多层次、多支柱养老保险体系，增强人民群众获得感、幸福感、安全感的重要举措，直接关系广大参加人的切身利益。各地区要加强领导、周密部署、广泛宣传，稳妥有序推动有关工作落地实施。各相关部门要按照职责分工制定落实本意见的具体政策措施，同向发力、密切协同，指导地方和有关金融机构切实做好相关工作。人力资源社会保障部、财政部要加强指导和协调，结合实际分步实施，选择部分城市先试行</w:t>
      </w:r>
      <w:r>
        <w:rPr>
          <w:rFonts w:hint="eastAsia"/>
        </w:rPr>
        <w:t>1</w:t>
      </w:r>
      <w:r>
        <w:rPr>
          <w:rFonts w:hint="eastAsia"/>
        </w:rPr>
        <w:t>年，再逐步推开，及时研究解决工作中遇到的问题，确保本意见顺利实施。</w:t>
      </w:r>
    </w:p>
    <w:p w14:paraId="67101B1A" w14:textId="77777777" w:rsidR="003D6D2C" w:rsidRDefault="003D6D2C" w:rsidP="009B5299">
      <w:pPr>
        <w:pStyle w:val="AD"/>
        <w:spacing w:line="276" w:lineRule="auto"/>
      </w:pPr>
    </w:p>
    <w:p w14:paraId="6FEC99F8" w14:textId="77777777" w:rsidR="003D6D2C" w:rsidRDefault="003D6D2C" w:rsidP="009B5299">
      <w:pPr>
        <w:pStyle w:val="AD"/>
        <w:spacing w:line="276" w:lineRule="auto"/>
        <w:jc w:val="right"/>
        <w:rPr>
          <w:rFonts w:hint="eastAsia"/>
        </w:rPr>
      </w:pPr>
      <w:r>
        <w:rPr>
          <w:rFonts w:hint="eastAsia"/>
        </w:rPr>
        <w:t>国务院办公厅</w:t>
      </w:r>
    </w:p>
    <w:p w14:paraId="5D21D03A" w14:textId="59E3E8A4" w:rsidR="00B15193" w:rsidRDefault="003D6D2C" w:rsidP="009B5299">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8</w:t>
      </w:r>
      <w:r>
        <w:rPr>
          <w:rFonts w:hint="eastAsia"/>
        </w:rPr>
        <w:t>日</w:t>
      </w:r>
    </w:p>
    <w:p w14:paraId="1760B066" w14:textId="735C0434" w:rsidR="003D6D2C" w:rsidRDefault="003D6D2C" w:rsidP="009B5299">
      <w:pPr>
        <w:pStyle w:val="AD"/>
        <w:spacing w:line="276" w:lineRule="auto"/>
      </w:pPr>
    </w:p>
    <w:p w14:paraId="2C1A4636" w14:textId="07046142" w:rsidR="003D6D2C" w:rsidRDefault="003D6D2C" w:rsidP="009B5299">
      <w:pPr>
        <w:pStyle w:val="AD"/>
        <w:spacing w:line="276" w:lineRule="auto"/>
      </w:pPr>
    </w:p>
    <w:p w14:paraId="4E13DA12" w14:textId="25F2A718" w:rsidR="003D6D2C" w:rsidRDefault="003D6D2C" w:rsidP="009B5299">
      <w:pPr>
        <w:pStyle w:val="AD"/>
        <w:spacing w:line="276" w:lineRule="auto"/>
      </w:pPr>
      <w:r>
        <w:rPr>
          <w:rFonts w:hint="eastAsia"/>
        </w:rPr>
        <w:t>信息来源：</w:t>
      </w:r>
      <w:hyperlink r:id="rId6" w:history="1">
        <w:r w:rsidRPr="00F574FA">
          <w:rPr>
            <w:rStyle w:val="a9"/>
          </w:rPr>
          <w:t>http://www.gov.cn/zhengce/content/2022-04/21/content_5686402.htm</w:t>
        </w:r>
      </w:hyperlink>
    </w:p>
    <w:p w14:paraId="03E374C1" w14:textId="77777777" w:rsidR="003D6D2C" w:rsidRPr="003D6D2C" w:rsidRDefault="003D6D2C" w:rsidP="009B5299">
      <w:pPr>
        <w:pStyle w:val="AD"/>
        <w:spacing w:line="276" w:lineRule="auto"/>
        <w:rPr>
          <w:rFonts w:hint="eastAsia"/>
        </w:rPr>
      </w:pPr>
    </w:p>
    <w:sectPr w:rsidR="003D6D2C" w:rsidRPr="003D6D2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7D94" w14:textId="77777777" w:rsidR="00BB568B" w:rsidRDefault="00BB568B" w:rsidP="00C20A6A">
      <w:pPr>
        <w:spacing w:line="240" w:lineRule="auto"/>
      </w:pPr>
      <w:r>
        <w:separator/>
      </w:r>
    </w:p>
  </w:endnote>
  <w:endnote w:type="continuationSeparator" w:id="0">
    <w:p w14:paraId="613B83F1" w14:textId="77777777" w:rsidR="00BB568B" w:rsidRDefault="00BB568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B518" w14:textId="77777777" w:rsidR="00BB568B" w:rsidRDefault="00BB568B" w:rsidP="00C20A6A">
      <w:pPr>
        <w:spacing w:line="240" w:lineRule="auto"/>
      </w:pPr>
      <w:r>
        <w:separator/>
      </w:r>
    </w:p>
  </w:footnote>
  <w:footnote w:type="continuationSeparator" w:id="0">
    <w:p w14:paraId="414F9D20" w14:textId="77777777" w:rsidR="00BB568B" w:rsidRDefault="00BB568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819"/>
    <w:rsid w:val="000C052D"/>
    <w:rsid w:val="000F4C6A"/>
    <w:rsid w:val="00176A25"/>
    <w:rsid w:val="001C4C6F"/>
    <w:rsid w:val="00267F24"/>
    <w:rsid w:val="003D27E2"/>
    <w:rsid w:val="003D6D2C"/>
    <w:rsid w:val="005F7C76"/>
    <w:rsid w:val="007D7BDB"/>
    <w:rsid w:val="008D4819"/>
    <w:rsid w:val="009B5299"/>
    <w:rsid w:val="00A548E7"/>
    <w:rsid w:val="00B15193"/>
    <w:rsid w:val="00B731F1"/>
    <w:rsid w:val="00BB568B"/>
    <w:rsid w:val="00C20A6A"/>
    <w:rsid w:val="00C22624"/>
    <w:rsid w:val="00D02718"/>
    <w:rsid w:val="00DA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AA67"/>
  <w15:chartTrackingRefBased/>
  <w15:docId w15:val="{5817A765-9711-4970-9495-1E0EA5DF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D6D2C"/>
    <w:pPr>
      <w:ind w:leftChars="2500" w:left="100"/>
    </w:pPr>
  </w:style>
  <w:style w:type="character" w:customStyle="1" w:styleId="a8">
    <w:name w:val="日期 字符"/>
    <w:basedOn w:val="a0"/>
    <w:link w:val="a7"/>
    <w:uiPriority w:val="99"/>
    <w:semiHidden/>
    <w:rsid w:val="003D6D2C"/>
    <w:rPr>
      <w:rFonts w:ascii="Arial" w:eastAsia="宋体" w:hAnsi="Arial"/>
      <w:sz w:val="22"/>
    </w:rPr>
  </w:style>
  <w:style w:type="character" w:styleId="a9">
    <w:name w:val="Hyperlink"/>
    <w:basedOn w:val="a0"/>
    <w:uiPriority w:val="99"/>
    <w:unhideWhenUsed/>
    <w:rsid w:val="003D6D2C"/>
    <w:rPr>
      <w:color w:val="0000FF" w:themeColor="hyperlink"/>
      <w:u w:val="single"/>
    </w:rPr>
  </w:style>
  <w:style w:type="character" w:styleId="aa">
    <w:name w:val="Unresolved Mention"/>
    <w:basedOn w:val="a0"/>
    <w:uiPriority w:val="99"/>
    <w:semiHidden/>
    <w:unhideWhenUsed/>
    <w:rsid w:val="003D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4/21/content_56864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2022-04-21T10:56:00Z</dcterms:created>
  <dcterms:modified xsi:type="dcterms:W3CDTF">2022-04-21T10:57:00Z</dcterms:modified>
</cp:coreProperties>
</file>