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A4BBA" w14:textId="77777777" w:rsidR="003C0017" w:rsidRPr="003C0017" w:rsidRDefault="003C0017" w:rsidP="00DF2B76">
      <w:pPr>
        <w:pStyle w:val="AD"/>
        <w:spacing w:line="276" w:lineRule="auto"/>
        <w:jc w:val="center"/>
        <w:rPr>
          <w:b/>
          <w:bCs/>
          <w:color w:val="E36C0A" w:themeColor="accent6" w:themeShade="BF"/>
          <w:sz w:val="32"/>
          <w:szCs w:val="32"/>
        </w:rPr>
      </w:pPr>
      <w:r w:rsidRPr="003C0017">
        <w:rPr>
          <w:rFonts w:hint="eastAsia"/>
          <w:b/>
          <w:bCs/>
          <w:color w:val="E36C0A" w:themeColor="accent6" w:themeShade="BF"/>
          <w:sz w:val="32"/>
          <w:szCs w:val="32"/>
        </w:rPr>
        <w:t>人民检察院办理认罪认罚案件听取意见同步录音录像规定</w:t>
      </w:r>
    </w:p>
    <w:p w14:paraId="4B180B71" w14:textId="77777777" w:rsidR="003C0017" w:rsidRDefault="003C0017" w:rsidP="00DF2B76">
      <w:pPr>
        <w:pStyle w:val="AD"/>
        <w:spacing w:line="276" w:lineRule="auto"/>
      </w:pPr>
    </w:p>
    <w:p w14:paraId="747BC4F7" w14:textId="7E1C68F2" w:rsidR="003C0017" w:rsidRDefault="003C0017" w:rsidP="00DF2B76">
      <w:pPr>
        <w:pStyle w:val="AD"/>
        <w:spacing w:line="276" w:lineRule="auto"/>
      </w:pPr>
      <w:r>
        <w:rPr>
          <w:rFonts w:hint="eastAsia"/>
        </w:rPr>
        <w:t>第一条</w:t>
      </w:r>
      <w:r w:rsidR="008F0203">
        <w:t xml:space="preserve"> </w:t>
      </w:r>
      <w:r>
        <w:t xml:space="preserve"> </w:t>
      </w:r>
      <w:r>
        <w:rPr>
          <w:rFonts w:hint="eastAsia"/>
        </w:rPr>
        <w:t>为规范人民检察院办理认罪认罚案件听取意见活动，依法保障犯罪嫌疑人、被告人诉讼权利，确保认罪认罚自愿性、真实性、合法性，根据法律和相关规定，结合办案实际，制定本规定。</w:t>
      </w:r>
    </w:p>
    <w:p w14:paraId="4B402C8B" w14:textId="77777777" w:rsidR="003C0017" w:rsidRDefault="003C0017" w:rsidP="00DF2B76">
      <w:pPr>
        <w:pStyle w:val="AD"/>
        <w:spacing w:line="276" w:lineRule="auto"/>
      </w:pPr>
    </w:p>
    <w:p w14:paraId="77F9B13A" w14:textId="5F6FC04D" w:rsidR="003C0017" w:rsidRDefault="003C0017" w:rsidP="00DF2B76">
      <w:pPr>
        <w:pStyle w:val="AD"/>
        <w:spacing w:line="276" w:lineRule="auto"/>
      </w:pPr>
      <w:r>
        <w:rPr>
          <w:rFonts w:hint="eastAsia"/>
        </w:rPr>
        <w:t>第二条</w:t>
      </w:r>
      <w:r w:rsidR="008F0203">
        <w:t xml:space="preserve"> </w:t>
      </w:r>
      <w:r>
        <w:t xml:space="preserve"> </w:t>
      </w:r>
      <w:r>
        <w:rPr>
          <w:rFonts w:hint="eastAsia"/>
        </w:rPr>
        <w:t>人民检察院办理认罪认罚案件，对于检察官围绕量刑建议、程序适用等事项听取犯罪嫌疑人、被告人、辩护人或者值班律师意见、签署具结书活动，应当同步录音录像。</w:t>
      </w:r>
    </w:p>
    <w:p w14:paraId="4110EB04" w14:textId="77777777" w:rsidR="003C0017" w:rsidRDefault="003C0017" w:rsidP="00DF2B76">
      <w:pPr>
        <w:pStyle w:val="AD"/>
        <w:spacing w:line="276" w:lineRule="auto"/>
      </w:pPr>
    </w:p>
    <w:p w14:paraId="4114D67D" w14:textId="77777777" w:rsidR="003C0017" w:rsidRDefault="003C0017" w:rsidP="00DF2B76">
      <w:pPr>
        <w:pStyle w:val="AD"/>
        <w:spacing w:line="276" w:lineRule="auto"/>
      </w:pPr>
      <w:r>
        <w:rPr>
          <w:rFonts w:hint="eastAsia"/>
        </w:rPr>
        <w:t>听取意见同步录音录像不包括讯问过程，但是讯问与听取意见、签署具结书同时进行的，可以一并录制。</w:t>
      </w:r>
    </w:p>
    <w:p w14:paraId="577551AD" w14:textId="77777777" w:rsidR="003C0017" w:rsidRDefault="003C0017" w:rsidP="00DF2B76">
      <w:pPr>
        <w:pStyle w:val="AD"/>
        <w:spacing w:line="276" w:lineRule="auto"/>
      </w:pPr>
    </w:p>
    <w:p w14:paraId="4ACB32A3" w14:textId="77777777" w:rsidR="003C0017" w:rsidRDefault="003C0017" w:rsidP="00DF2B76">
      <w:pPr>
        <w:pStyle w:val="AD"/>
        <w:spacing w:line="276" w:lineRule="auto"/>
      </w:pPr>
      <w:r>
        <w:rPr>
          <w:rFonts w:hint="eastAsia"/>
        </w:rPr>
        <w:t>多次听取意见的，至少要对量刑建议形成、确认以及最后的具结书签署过程进行同步录音录像。对依法不需要签署具结书的案件，应当对能够反映量刑建议形成的环节同步录音录像。</w:t>
      </w:r>
    </w:p>
    <w:p w14:paraId="70627A6B" w14:textId="77777777" w:rsidR="003C0017" w:rsidRDefault="003C0017" w:rsidP="00DF2B76">
      <w:pPr>
        <w:pStyle w:val="AD"/>
        <w:spacing w:line="276" w:lineRule="auto"/>
      </w:pPr>
    </w:p>
    <w:p w14:paraId="0CFF4798" w14:textId="4414B342" w:rsidR="003C0017" w:rsidRDefault="003C0017" w:rsidP="00DF2B76">
      <w:pPr>
        <w:pStyle w:val="AD"/>
        <w:spacing w:line="276" w:lineRule="auto"/>
      </w:pPr>
      <w:r>
        <w:rPr>
          <w:rFonts w:hint="eastAsia"/>
        </w:rPr>
        <w:t>第三条</w:t>
      </w:r>
      <w:r w:rsidR="008F0203">
        <w:t xml:space="preserve"> </w:t>
      </w:r>
      <w:r>
        <w:t xml:space="preserve"> </w:t>
      </w:r>
      <w:r>
        <w:rPr>
          <w:rFonts w:hint="eastAsia"/>
        </w:rPr>
        <w:t>认罪认罚案件听取意见同步录音录像适用于所有认罪认罚案件。</w:t>
      </w:r>
    </w:p>
    <w:p w14:paraId="386A5B46" w14:textId="77777777" w:rsidR="003C0017" w:rsidRDefault="003C0017" w:rsidP="00DF2B76">
      <w:pPr>
        <w:pStyle w:val="AD"/>
        <w:spacing w:line="276" w:lineRule="auto"/>
      </w:pPr>
    </w:p>
    <w:p w14:paraId="633C6A17" w14:textId="1991525F" w:rsidR="003C0017" w:rsidRDefault="003C0017" w:rsidP="00DF2B76">
      <w:pPr>
        <w:pStyle w:val="AD"/>
        <w:spacing w:line="276" w:lineRule="auto"/>
      </w:pPr>
      <w:r>
        <w:rPr>
          <w:rFonts w:hint="eastAsia"/>
        </w:rPr>
        <w:t>第四条</w:t>
      </w:r>
      <w:r w:rsidR="008F0203">
        <w:t xml:space="preserve"> </w:t>
      </w:r>
      <w:r>
        <w:t xml:space="preserve"> </w:t>
      </w:r>
      <w:r>
        <w:rPr>
          <w:rFonts w:hint="eastAsia"/>
        </w:rPr>
        <w:t>同步录音录像一般应当包含如下内容：</w:t>
      </w:r>
    </w:p>
    <w:p w14:paraId="1FBED025" w14:textId="77777777" w:rsidR="003C0017" w:rsidRDefault="003C0017" w:rsidP="00DF2B76">
      <w:pPr>
        <w:pStyle w:val="AD"/>
        <w:spacing w:line="276" w:lineRule="auto"/>
      </w:pPr>
    </w:p>
    <w:p w14:paraId="7643E278" w14:textId="77777777" w:rsidR="003C0017" w:rsidRDefault="003C0017" w:rsidP="00DF2B76">
      <w:pPr>
        <w:pStyle w:val="AD"/>
        <w:spacing w:line="276" w:lineRule="auto"/>
      </w:pPr>
      <w:r>
        <w:rPr>
          <w:rFonts w:hint="eastAsia"/>
        </w:rPr>
        <w:t>（一）告知犯罪嫌疑人、被告人、辩护人或者值班律师对听取意见过程进行同步录音录像的情况；</w:t>
      </w:r>
    </w:p>
    <w:p w14:paraId="25541D4A" w14:textId="77777777" w:rsidR="003C0017" w:rsidRDefault="003C0017" w:rsidP="00DF2B76">
      <w:pPr>
        <w:pStyle w:val="AD"/>
        <w:spacing w:line="276" w:lineRule="auto"/>
      </w:pPr>
    </w:p>
    <w:p w14:paraId="26F477ED" w14:textId="77777777" w:rsidR="003C0017" w:rsidRDefault="003C0017" w:rsidP="00DF2B76">
      <w:pPr>
        <w:pStyle w:val="AD"/>
        <w:spacing w:line="276" w:lineRule="auto"/>
      </w:pPr>
      <w:r>
        <w:rPr>
          <w:rFonts w:hint="eastAsia"/>
        </w:rPr>
        <w:t>（二）告知犯罪嫌疑人、被告人诉讼权利义务和认罪认罚法律规定，释明认罪认罚的法律性质和法律后果的情况；</w:t>
      </w:r>
    </w:p>
    <w:p w14:paraId="0BA982FC" w14:textId="77777777" w:rsidR="003C0017" w:rsidRDefault="003C0017" w:rsidP="00DF2B76">
      <w:pPr>
        <w:pStyle w:val="AD"/>
        <w:spacing w:line="276" w:lineRule="auto"/>
      </w:pPr>
    </w:p>
    <w:p w14:paraId="0112C6C2" w14:textId="77777777" w:rsidR="003C0017" w:rsidRDefault="003C0017" w:rsidP="00DF2B76">
      <w:pPr>
        <w:pStyle w:val="AD"/>
        <w:spacing w:line="276" w:lineRule="auto"/>
      </w:pPr>
      <w:r>
        <w:rPr>
          <w:rFonts w:hint="eastAsia"/>
        </w:rPr>
        <w:t>（三）告知犯罪嫌疑人、被告人无正当理由反悔的法律后果的情况；</w:t>
      </w:r>
    </w:p>
    <w:p w14:paraId="485F9F59" w14:textId="77777777" w:rsidR="003C0017" w:rsidRDefault="003C0017" w:rsidP="00DF2B76">
      <w:pPr>
        <w:pStyle w:val="AD"/>
        <w:spacing w:line="276" w:lineRule="auto"/>
      </w:pPr>
    </w:p>
    <w:p w14:paraId="1770ECE2" w14:textId="77777777" w:rsidR="003C0017" w:rsidRDefault="003C0017" w:rsidP="00DF2B76">
      <w:pPr>
        <w:pStyle w:val="AD"/>
        <w:spacing w:line="276" w:lineRule="auto"/>
      </w:pPr>
      <w:r>
        <w:rPr>
          <w:rFonts w:hint="eastAsia"/>
        </w:rPr>
        <w:t>（四）告知认定的犯罪事实、罪名、处理意见，提出的量刑建议、程序适用建议并进行说明的情况；</w:t>
      </w:r>
    </w:p>
    <w:p w14:paraId="623C46FB" w14:textId="77777777" w:rsidR="003C0017" w:rsidRDefault="003C0017" w:rsidP="00DF2B76">
      <w:pPr>
        <w:pStyle w:val="AD"/>
        <w:spacing w:line="276" w:lineRule="auto"/>
      </w:pPr>
    </w:p>
    <w:p w14:paraId="3D7C03D2" w14:textId="77777777" w:rsidR="003C0017" w:rsidRDefault="003C0017" w:rsidP="00DF2B76">
      <w:pPr>
        <w:pStyle w:val="AD"/>
        <w:spacing w:line="276" w:lineRule="auto"/>
      </w:pPr>
      <w:r>
        <w:rPr>
          <w:rFonts w:hint="eastAsia"/>
        </w:rPr>
        <w:t>（五）检察官听取犯罪嫌疑人、被告人、辩护人或者值班律师意见，犯罪嫌疑人、被告人听取辩护人或者值班律师意见的情况；</w:t>
      </w:r>
    </w:p>
    <w:p w14:paraId="59AB53B3" w14:textId="77777777" w:rsidR="003C0017" w:rsidRDefault="003C0017" w:rsidP="00DF2B76">
      <w:pPr>
        <w:pStyle w:val="AD"/>
        <w:spacing w:line="276" w:lineRule="auto"/>
      </w:pPr>
    </w:p>
    <w:p w14:paraId="1CB6CDA6" w14:textId="77777777" w:rsidR="003C0017" w:rsidRDefault="003C0017" w:rsidP="00DF2B76">
      <w:pPr>
        <w:pStyle w:val="AD"/>
        <w:spacing w:line="276" w:lineRule="auto"/>
      </w:pPr>
      <w:r>
        <w:rPr>
          <w:rFonts w:hint="eastAsia"/>
        </w:rPr>
        <w:t>（六）根据需要，开示证据的情况；</w:t>
      </w:r>
    </w:p>
    <w:p w14:paraId="2BFC280E" w14:textId="77777777" w:rsidR="003C0017" w:rsidRDefault="003C0017" w:rsidP="00DF2B76">
      <w:pPr>
        <w:pStyle w:val="AD"/>
        <w:spacing w:line="276" w:lineRule="auto"/>
      </w:pPr>
    </w:p>
    <w:p w14:paraId="03997742" w14:textId="77777777" w:rsidR="003C0017" w:rsidRDefault="003C0017" w:rsidP="00DF2B76">
      <w:pPr>
        <w:pStyle w:val="AD"/>
        <w:spacing w:line="276" w:lineRule="auto"/>
      </w:pPr>
      <w:r>
        <w:rPr>
          <w:rFonts w:hint="eastAsia"/>
        </w:rPr>
        <w:t>（七）犯罪嫌疑人、被告人签署具结书及辩护人或者值班律师见证的情况；</w:t>
      </w:r>
    </w:p>
    <w:p w14:paraId="3180CE1C" w14:textId="77777777" w:rsidR="003C0017" w:rsidRDefault="003C0017" w:rsidP="00DF2B76">
      <w:pPr>
        <w:pStyle w:val="AD"/>
        <w:spacing w:line="276" w:lineRule="auto"/>
      </w:pPr>
    </w:p>
    <w:p w14:paraId="356FC550" w14:textId="77777777" w:rsidR="003C0017" w:rsidRDefault="003C0017" w:rsidP="00DF2B76">
      <w:pPr>
        <w:pStyle w:val="AD"/>
        <w:spacing w:line="276" w:lineRule="auto"/>
      </w:pPr>
      <w:r>
        <w:rPr>
          <w:rFonts w:hint="eastAsia"/>
        </w:rPr>
        <w:t>（八）其他需要录制的情况。</w:t>
      </w:r>
    </w:p>
    <w:p w14:paraId="1BF1704C" w14:textId="77777777" w:rsidR="003C0017" w:rsidRDefault="003C0017" w:rsidP="00DF2B76">
      <w:pPr>
        <w:pStyle w:val="AD"/>
        <w:spacing w:line="276" w:lineRule="auto"/>
      </w:pPr>
    </w:p>
    <w:p w14:paraId="186DCC1C" w14:textId="7F6381B5" w:rsidR="003C0017" w:rsidRDefault="003C0017" w:rsidP="00DF2B76">
      <w:pPr>
        <w:pStyle w:val="AD"/>
        <w:spacing w:line="276" w:lineRule="auto"/>
      </w:pPr>
      <w:r>
        <w:rPr>
          <w:rFonts w:hint="eastAsia"/>
        </w:rPr>
        <w:lastRenderedPageBreak/>
        <w:t>第五条</w:t>
      </w:r>
      <w:r w:rsidR="008F0203">
        <w:t xml:space="preserve"> </w:t>
      </w:r>
      <w:r>
        <w:t xml:space="preserve"> </w:t>
      </w:r>
      <w:r>
        <w:rPr>
          <w:rFonts w:hint="eastAsia"/>
        </w:rPr>
        <w:t>认罪认罚案件听取意见应当由检察官主持，检察官助理、检察技术人员、司法警察、书记员协助。犯罪嫌疑人、被告人、辩护人或者值班律师等人员参与。</w:t>
      </w:r>
    </w:p>
    <w:p w14:paraId="473C0000" w14:textId="77777777" w:rsidR="003C0017" w:rsidRDefault="003C0017" w:rsidP="00DF2B76">
      <w:pPr>
        <w:pStyle w:val="AD"/>
        <w:spacing w:line="276" w:lineRule="auto"/>
      </w:pPr>
    </w:p>
    <w:p w14:paraId="63D8D1D2" w14:textId="77777777" w:rsidR="003C0017" w:rsidRDefault="003C0017" w:rsidP="00DF2B76">
      <w:pPr>
        <w:pStyle w:val="AD"/>
        <w:spacing w:line="276" w:lineRule="auto"/>
      </w:pPr>
      <w:r>
        <w:rPr>
          <w:rFonts w:hint="eastAsia"/>
        </w:rPr>
        <w:t>同步录音录像由检察技术人员或其他检察辅助人员负责录制。</w:t>
      </w:r>
    </w:p>
    <w:p w14:paraId="0FF64C9E" w14:textId="77777777" w:rsidR="003C0017" w:rsidRDefault="003C0017" w:rsidP="00DF2B76">
      <w:pPr>
        <w:pStyle w:val="AD"/>
        <w:spacing w:line="276" w:lineRule="auto"/>
      </w:pPr>
    </w:p>
    <w:p w14:paraId="76E60F61" w14:textId="25A56CCF" w:rsidR="003C0017" w:rsidRDefault="003C0017" w:rsidP="00DF2B76">
      <w:pPr>
        <w:pStyle w:val="AD"/>
        <w:spacing w:line="276" w:lineRule="auto"/>
      </w:pPr>
      <w:r>
        <w:rPr>
          <w:rFonts w:hint="eastAsia"/>
        </w:rPr>
        <w:t>第六条</w:t>
      </w:r>
      <w:r w:rsidR="008F0203">
        <w:t xml:space="preserve"> </w:t>
      </w:r>
      <w:r>
        <w:t xml:space="preserve"> </w:t>
      </w:r>
      <w:r>
        <w:rPr>
          <w:rFonts w:hint="eastAsia"/>
        </w:rPr>
        <w:t>同步录音录像一般应当在羁押场所或者检察机关办案区进行，有条件的可以探索在上述地点单独设置听取意见室。</w:t>
      </w:r>
    </w:p>
    <w:p w14:paraId="72E8EF1A" w14:textId="77777777" w:rsidR="003C0017" w:rsidRDefault="003C0017" w:rsidP="00DF2B76">
      <w:pPr>
        <w:pStyle w:val="AD"/>
        <w:spacing w:line="276" w:lineRule="auto"/>
      </w:pPr>
    </w:p>
    <w:p w14:paraId="6D29A3D1" w14:textId="77777777" w:rsidR="003C0017" w:rsidRDefault="003C0017" w:rsidP="00DF2B76">
      <w:pPr>
        <w:pStyle w:val="AD"/>
        <w:spacing w:line="276" w:lineRule="auto"/>
      </w:pPr>
      <w:r>
        <w:rPr>
          <w:rFonts w:hint="eastAsia"/>
        </w:rPr>
        <w:t>采取远程视频等方式听取意见的，应当保存视频音频作为同步录音录像资料。</w:t>
      </w:r>
    </w:p>
    <w:p w14:paraId="717E6E00" w14:textId="77777777" w:rsidR="003C0017" w:rsidRDefault="003C0017" w:rsidP="00DF2B76">
      <w:pPr>
        <w:pStyle w:val="AD"/>
        <w:spacing w:line="276" w:lineRule="auto"/>
      </w:pPr>
    </w:p>
    <w:p w14:paraId="1A4EF78E" w14:textId="3BD3B890" w:rsidR="003C0017" w:rsidRDefault="003C0017" w:rsidP="00DF2B76">
      <w:pPr>
        <w:pStyle w:val="AD"/>
        <w:spacing w:line="276" w:lineRule="auto"/>
      </w:pPr>
      <w:r>
        <w:rPr>
          <w:rFonts w:hint="eastAsia"/>
        </w:rPr>
        <w:t>第七条</w:t>
      </w:r>
      <w:r w:rsidR="008F0203">
        <w:t xml:space="preserve"> </w:t>
      </w:r>
      <w:r>
        <w:t xml:space="preserve"> </w:t>
      </w:r>
      <w:r>
        <w:rPr>
          <w:rFonts w:hint="eastAsia"/>
        </w:rPr>
        <w:t>听取意见前，人民检察院应当告知辩护人或者值班律师听取意见的时间、地点，并听取辩护人或者值班律师意见。</w:t>
      </w:r>
    </w:p>
    <w:p w14:paraId="627BB84F" w14:textId="77777777" w:rsidR="003C0017" w:rsidRDefault="003C0017" w:rsidP="00DF2B76">
      <w:pPr>
        <w:pStyle w:val="AD"/>
        <w:spacing w:line="276" w:lineRule="auto"/>
      </w:pPr>
    </w:p>
    <w:p w14:paraId="3F5A919B" w14:textId="77777777" w:rsidR="003C0017" w:rsidRDefault="003C0017" w:rsidP="00DF2B76">
      <w:pPr>
        <w:pStyle w:val="AD"/>
        <w:spacing w:line="276" w:lineRule="auto"/>
      </w:pPr>
      <w:r>
        <w:rPr>
          <w:rFonts w:hint="eastAsia"/>
        </w:rPr>
        <w:t>在听取意见过程中，人民检察院应当为辩护人或者值班律师会见犯罪嫌疑人、查阅案卷材料提供必要的便利。</w:t>
      </w:r>
    </w:p>
    <w:p w14:paraId="1090B829" w14:textId="77777777" w:rsidR="003C0017" w:rsidRDefault="003C0017" w:rsidP="00DF2B76">
      <w:pPr>
        <w:pStyle w:val="AD"/>
        <w:spacing w:line="276" w:lineRule="auto"/>
      </w:pPr>
    </w:p>
    <w:p w14:paraId="1AF5B000" w14:textId="215B4A98" w:rsidR="003C0017" w:rsidRDefault="003C0017" w:rsidP="00DF2B76">
      <w:pPr>
        <w:pStyle w:val="AD"/>
        <w:spacing w:line="276" w:lineRule="auto"/>
      </w:pPr>
      <w:r>
        <w:rPr>
          <w:rFonts w:hint="eastAsia"/>
        </w:rPr>
        <w:t>第八条</w:t>
      </w:r>
      <w:r w:rsidR="008F0203">
        <w:t xml:space="preserve"> </w:t>
      </w:r>
      <w:r>
        <w:t xml:space="preserve"> </w:t>
      </w:r>
      <w:r>
        <w:rPr>
          <w:rFonts w:hint="eastAsia"/>
        </w:rPr>
        <w:t>同步录音录像，应当客观、全面地反映听取意见的参与人员、听取意见过程，画面完整、端正，声音和影像清晰可辨。同步录音录像应当保持完整、连续，不得选择性录制，不得篡改、删改。</w:t>
      </w:r>
    </w:p>
    <w:p w14:paraId="5E6D9ED4" w14:textId="77777777" w:rsidR="003C0017" w:rsidRDefault="003C0017" w:rsidP="00DF2B76">
      <w:pPr>
        <w:pStyle w:val="AD"/>
        <w:spacing w:line="276" w:lineRule="auto"/>
      </w:pPr>
    </w:p>
    <w:p w14:paraId="2E731903" w14:textId="0AB4A4F7" w:rsidR="003C0017" w:rsidRDefault="003C0017" w:rsidP="00DF2B76">
      <w:pPr>
        <w:pStyle w:val="AD"/>
        <w:spacing w:line="276" w:lineRule="auto"/>
      </w:pPr>
      <w:r>
        <w:rPr>
          <w:rFonts w:hint="eastAsia"/>
        </w:rPr>
        <w:t>第九条</w:t>
      </w:r>
      <w:r w:rsidR="008F0203">
        <w:t xml:space="preserve"> </w:t>
      </w:r>
      <w:r>
        <w:t xml:space="preserve"> </w:t>
      </w:r>
      <w:r>
        <w:rPr>
          <w:rFonts w:hint="eastAsia"/>
        </w:rPr>
        <w:t>同步录音录像的起始和结束由检察官宣布。开始录像前，应当告知犯罪嫌疑人、被告人、辩护人或者值班律师。</w:t>
      </w:r>
    </w:p>
    <w:p w14:paraId="10935472" w14:textId="77777777" w:rsidR="003C0017" w:rsidRDefault="003C0017" w:rsidP="00DF2B76">
      <w:pPr>
        <w:pStyle w:val="AD"/>
        <w:spacing w:line="276" w:lineRule="auto"/>
      </w:pPr>
    </w:p>
    <w:p w14:paraId="7F1B5068" w14:textId="7DE3A5AC" w:rsidR="003C0017" w:rsidRDefault="003C0017" w:rsidP="00DF2B76">
      <w:pPr>
        <w:pStyle w:val="AD"/>
        <w:spacing w:line="276" w:lineRule="auto"/>
      </w:pPr>
      <w:r>
        <w:rPr>
          <w:rFonts w:hint="eastAsia"/>
        </w:rPr>
        <w:t>第十条</w:t>
      </w:r>
      <w:r w:rsidR="008F0203">
        <w:t xml:space="preserve"> </w:t>
      </w:r>
      <w:r>
        <w:t xml:space="preserve"> </w:t>
      </w:r>
      <w:r>
        <w:rPr>
          <w:rFonts w:hint="eastAsia"/>
        </w:rPr>
        <w:t>听取意见过程中发现可能影响定罪量刑的新情况，需要补充核实的，应当中止听取意见和同步录音录像。核实完毕后，视情决定重新或者继续听取意见并进行同步录音录像。</w:t>
      </w:r>
    </w:p>
    <w:p w14:paraId="55E8B26C" w14:textId="77777777" w:rsidR="003C0017" w:rsidRDefault="003C0017" w:rsidP="00DF2B76">
      <w:pPr>
        <w:pStyle w:val="AD"/>
        <w:spacing w:line="276" w:lineRule="auto"/>
      </w:pPr>
    </w:p>
    <w:p w14:paraId="5B11B0D3" w14:textId="77777777" w:rsidR="003C0017" w:rsidRDefault="003C0017" w:rsidP="00DF2B76">
      <w:pPr>
        <w:pStyle w:val="AD"/>
        <w:spacing w:line="276" w:lineRule="auto"/>
      </w:pPr>
      <w:r>
        <w:rPr>
          <w:rFonts w:hint="eastAsia"/>
        </w:rPr>
        <w:t>因技术故障无法录制的，一般应当中止听取意见，待故障排除后再行听取意见和录制。技术故障一时难以排除的，征得犯罪嫌疑人、被告人、辩护人或者值班律师同意，可以继续听取意见，但应当记录在案。</w:t>
      </w:r>
    </w:p>
    <w:p w14:paraId="50B97574" w14:textId="77777777" w:rsidR="003C0017" w:rsidRDefault="003C0017" w:rsidP="00DF2B76">
      <w:pPr>
        <w:pStyle w:val="AD"/>
        <w:spacing w:line="276" w:lineRule="auto"/>
      </w:pPr>
    </w:p>
    <w:p w14:paraId="75DBC512" w14:textId="3DC705C1" w:rsidR="003C0017" w:rsidRDefault="003C0017" w:rsidP="00DF2B76">
      <w:pPr>
        <w:pStyle w:val="AD"/>
        <w:spacing w:line="276" w:lineRule="auto"/>
      </w:pPr>
      <w:r>
        <w:rPr>
          <w:rFonts w:hint="eastAsia"/>
        </w:rPr>
        <w:t>第十一条</w:t>
      </w:r>
      <w:r w:rsidR="008F0203">
        <w:t xml:space="preserve"> </w:t>
      </w:r>
      <w:r>
        <w:t xml:space="preserve"> </w:t>
      </w:r>
      <w:r>
        <w:rPr>
          <w:rFonts w:hint="eastAsia"/>
        </w:rPr>
        <w:t>同步录音录像结束后，录制人员应当及时制作同步录音录像文件，交由案件承办人员办案使用，案件办结后由案件承办人员随案归档。同步录音录像文件的命名应当与全国检察业务应用系统内案件对应。各级人民检察院应当逐步建立同步录音录像文件管理系统，统一存储和保管同步录音录像文件。同步录音录像文件保存期限为十年。</w:t>
      </w:r>
    </w:p>
    <w:p w14:paraId="0B242CE4" w14:textId="77777777" w:rsidR="003C0017" w:rsidRDefault="003C0017" w:rsidP="00DF2B76">
      <w:pPr>
        <w:pStyle w:val="AD"/>
        <w:spacing w:line="276" w:lineRule="auto"/>
      </w:pPr>
    </w:p>
    <w:p w14:paraId="05DAE94B" w14:textId="5941ECC8" w:rsidR="003C0017" w:rsidRDefault="003C0017" w:rsidP="00DF2B76">
      <w:pPr>
        <w:pStyle w:val="AD"/>
        <w:spacing w:line="276" w:lineRule="auto"/>
      </w:pPr>
      <w:r>
        <w:rPr>
          <w:rFonts w:hint="eastAsia"/>
        </w:rPr>
        <w:t>第十二条</w:t>
      </w:r>
      <w:r w:rsidR="008F0203">
        <w:t xml:space="preserve"> </w:t>
      </w:r>
      <w:r>
        <w:t xml:space="preserve"> </w:t>
      </w:r>
      <w:r>
        <w:rPr>
          <w:rFonts w:hint="eastAsia"/>
        </w:rPr>
        <w:t>同步录音录像文件是人民检察院办理认罪认罚案件的工作资料，实行有条件调取使用。因人民法院、犯罪嫌疑人、被告人、辩护人或者值班律师对认罪认罚自愿性、真实性、合法性提出异议或者疑问等原因，需要查阅同步录音录像文件的，人民检察院可以出示，也可以将同步录音录像文件移送人民法院，必要时提请法庭播放。</w:t>
      </w:r>
    </w:p>
    <w:p w14:paraId="3A349A25" w14:textId="77777777" w:rsidR="003C0017" w:rsidRDefault="003C0017" w:rsidP="00DF2B76">
      <w:pPr>
        <w:pStyle w:val="AD"/>
        <w:spacing w:line="276" w:lineRule="auto"/>
      </w:pPr>
    </w:p>
    <w:p w14:paraId="0F0A4441" w14:textId="77777777" w:rsidR="003C0017" w:rsidRDefault="003C0017" w:rsidP="00DF2B76">
      <w:pPr>
        <w:pStyle w:val="AD"/>
        <w:spacing w:line="276" w:lineRule="auto"/>
      </w:pPr>
      <w:r>
        <w:rPr>
          <w:rFonts w:hint="eastAsia"/>
        </w:rPr>
        <w:t>因案件质量评查、复查、检务督察等工作，需要查阅、调取、复制、出示同步录音录像文件的，应当履行审批手续并记录在案。</w:t>
      </w:r>
    </w:p>
    <w:p w14:paraId="17E917AE" w14:textId="77777777" w:rsidR="003C0017" w:rsidRDefault="003C0017" w:rsidP="00DF2B76">
      <w:pPr>
        <w:pStyle w:val="AD"/>
        <w:spacing w:line="276" w:lineRule="auto"/>
      </w:pPr>
    </w:p>
    <w:p w14:paraId="643E2C2D" w14:textId="2D421CFC" w:rsidR="003C0017" w:rsidRDefault="003C0017" w:rsidP="00DF2B76">
      <w:pPr>
        <w:pStyle w:val="AD"/>
        <w:spacing w:line="276" w:lineRule="auto"/>
      </w:pPr>
      <w:r>
        <w:rPr>
          <w:rFonts w:hint="eastAsia"/>
        </w:rPr>
        <w:t>第十三条</w:t>
      </w:r>
      <w:r w:rsidR="008F0203">
        <w:t xml:space="preserve"> </w:t>
      </w:r>
      <w:r>
        <w:t xml:space="preserve"> </w:t>
      </w:r>
      <w:r>
        <w:rPr>
          <w:rFonts w:hint="eastAsia"/>
        </w:rPr>
        <w:t>检察人员听取意见</w:t>
      </w:r>
      <w:proofErr w:type="gramStart"/>
      <w:r>
        <w:rPr>
          <w:rFonts w:hint="eastAsia"/>
        </w:rPr>
        <w:t>应当着</w:t>
      </w:r>
      <w:proofErr w:type="gramEnd"/>
      <w:r>
        <w:rPr>
          <w:rFonts w:hint="eastAsia"/>
        </w:rPr>
        <w:t>检察制服，做到仪表整洁，举止严肃、端庄，用语文明、规范。</w:t>
      </w:r>
    </w:p>
    <w:p w14:paraId="40319C81" w14:textId="77777777" w:rsidR="003C0017" w:rsidRDefault="003C0017" w:rsidP="00DF2B76">
      <w:pPr>
        <w:pStyle w:val="AD"/>
        <w:spacing w:line="276" w:lineRule="auto"/>
      </w:pPr>
    </w:p>
    <w:p w14:paraId="4A4DD8C1" w14:textId="3A105BC5" w:rsidR="003C0017" w:rsidRDefault="003C0017" w:rsidP="00DF2B76">
      <w:pPr>
        <w:pStyle w:val="AD"/>
        <w:spacing w:line="276" w:lineRule="auto"/>
      </w:pPr>
      <w:r>
        <w:rPr>
          <w:rFonts w:hint="eastAsia"/>
        </w:rPr>
        <w:t>第十四条</w:t>
      </w:r>
      <w:r w:rsidR="008F0203">
        <w:t xml:space="preserve"> </w:t>
      </w:r>
      <w:r>
        <w:t xml:space="preserve"> </w:t>
      </w:r>
      <w:r>
        <w:rPr>
          <w:rFonts w:hint="eastAsia"/>
        </w:rPr>
        <w:t>人民检察院刑事检察、检察技术、计划财务装备、案件管理、司法警察、档案管理等部门应当各司其职、各负其责、协调配合，保障同步录音录像工作规范、高效、有序开展。</w:t>
      </w:r>
    </w:p>
    <w:p w14:paraId="2781406D" w14:textId="77777777" w:rsidR="003C0017" w:rsidRDefault="003C0017" w:rsidP="00DF2B76">
      <w:pPr>
        <w:pStyle w:val="AD"/>
        <w:spacing w:line="276" w:lineRule="auto"/>
      </w:pPr>
    </w:p>
    <w:p w14:paraId="2491670C" w14:textId="5014DACF" w:rsidR="003C0017" w:rsidRDefault="003C0017" w:rsidP="00DF2B76">
      <w:pPr>
        <w:pStyle w:val="AD"/>
        <w:spacing w:line="276" w:lineRule="auto"/>
      </w:pPr>
      <w:r>
        <w:rPr>
          <w:rFonts w:hint="eastAsia"/>
        </w:rPr>
        <w:t>第十五条</w:t>
      </w:r>
      <w:r w:rsidR="008F0203">
        <w:t xml:space="preserve"> </w:t>
      </w:r>
      <w:r>
        <w:t xml:space="preserve"> </w:t>
      </w:r>
      <w:r>
        <w:rPr>
          <w:rFonts w:hint="eastAsia"/>
        </w:rPr>
        <w:t>人民检察院办理未成年人认罪认罚案件开展听取意见同步录音录像工作的，根据相关法律规定，结合未成年人检察工作实际，参照本规定执行。</w:t>
      </w:r>
    </w:p>
    <w:p w14:paraId="792AFBD7" w14:textId="77777777" w:rsidR="003C0017" w:rsidRDefault="003C0017" w:rsidP="00DF2B76">
      <w:pPr>
        <w:pStyle w:val="AD"/>
        <w:spacing w:line="276" w:lineRule="auto"/>
      </w:pPr>
    </w:p>
    <w:p w14:paraId="0971E756" w14:textId="78A850D7" w:rsidR="00B15193" w:rsidRDefault="003C0017" w:rsidP="00DF2B76">
      <w:pPr>
        <w:pStyle w:val="AD"/>
        <w:spacing w:line="276" w:lineRule="auto"/>
      </w:pPr>
      <w:r>
        <w:rPr>
          <w:rFonts w:hint="eastAsia"/>
        </w:rPr>
        <w:t>第十六条</w:t>
      </w:r>
      <w:r w:rsidR="008F0203">
        <w:t xml:space="preserve">  </w:t>
      </w:r>
      <w:r>
        <w:rPr>
          <w:rFonts w:hint="eastAsia"/>
        </w:rPr>
        <w:t>本规定自</w:t>
      </w:r>
      <w:r>
        <w:t>2022</w:t>
      </w:r>
      <w:r>
        <w:rPr>
          <w:rFonts w:hint="eastAsia"/>
        </w:rPr>
        <w:t>年</w:t>
      </w:r>
      <w:r>
        <w:t>3</w:t>
      </w:r>
      <w:r>
        <w:rPr>
          <w:rFonts w:hint="eastAsia"/>
        </w:rPr>
        <w:t>月</w:t>
      </w:r>
      <w:r>
        <w:t>1</w:t>
      </w:r>
      <w:r>
        <w:rPr>
          <w:rFonts w:hint="eastAsia"/>
        </w:rPr>
        <w:t>日起实施。</w:t>
      </w:r>
    </w:p>
    <w:p w14:paraId="757F8F86" w14:textId="39B1F54D" w:rsidR="003C0017" w:rsidRDefault="003C0017" w:rsidP="00DF2B76">
      <w:pPr>
        <w:pStyle w:val="AD"/>
        <w:spacing w:line="276" w:lineRule="auto"/>
      </w:pPr>
    </w:p>
    <w:p w14:paraId="7B1C5AEB" w14:textId="09D8E24F" w:rsidR="003C0017" w:rsidRDefault="003C0017" w:rsidP="00DF2B76">
      <w:pPr>
        <w:pStyle w:val="AD"/>
        <w:spacing w:line="276" w:lineRule="auto"/>
      </w:pPr>
    </w:p>
    <w:p w14:paraId="606EAAC4" w14:textId="425C4197" w:rsidR="003C0017" w:rsidRDefault="003C0017" w:rsidP="00DF2B76">
      <w:pPr>
        <w:pStyle w:val="AD"/>
        <w:spacing w:line="276" w:lineRule="auto"/>
      </w:pPr>
      <w:r>
        <w:rPr>
          <w:rFonts w:hint="eastAsia"/>
        </w:rPr>
        <w:t>信息来源：</w:t>
      </w:r>
      <w:hyperlink r:id="rId6" w:anchor="2" w:history="1">
        <w:r w:rsidRPr="006F6E84">
          <w:rPr>
            <w:rStyle w:val="a7"/>
          </w:rPr>
          <w:t>https://www.spp.gov.cn/spp/xwfbh/wsfbt/202112/t20211212_538590.shtml#2</w:t>
        </w:r>
      </w:hyperlink>
    </w:p>
    <w:p w14:paraId="336951B4" w14:textId="77777777" w:rsidR="003C0017" w:rsidRPr="003C0017" w:rsidRDefault="003C0017" w:rsidP="00DF2B76">
      <w:pPr>
        <w:pStyle w:val="AD"/>
        <w:spacing w:line="276" w:lineRule="auto"/>
      </w:pPr>
    </w:p>
    <w:sectPr w:rsidR="003C0017" w:rsidRPr="003C0017"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8C123" w14:textId="77777777" w:rsidR="00AE5A26" w:rsidRDefault="00AE5A26" w:rsidP="00C20A6A">
      <w:pPr>
        <w:spacing w:line="240" w:lineRule="auto"/>
      </w:pPr>
      <w:r>
        <w:separator/>
      </w:r>
    </w:p>
  </w:endnote>
  <w:endnote w:type="continuationSeparator" w:id="0">
    <w:p w14:paraId="7FB00013" w14:textId="77777777" w:rsidR="00AE5A26" w:rsidRDefault="00AE5A26"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63FA3" w14:textId="77777777" w:rsidR="00AE5A26" w:rsidRDefault="00AE5A26" w:rsidP="00C20A6A">
      <w:pPr>
        <w:spacing w:line="240" w:lineRule="auto"/>
      </w:pPr>
      <w:r>
        <w:separator/>
      </w:r>
    </w:p>
  </w:footnote>
  <w:footnote w:type="continuationSeparator" w:id="0">
    <w:p w14:paraId="0FFF407A" w14:textId="77777777" w:rsidR="00AE5A26" w:rsidRDefault="00AE5A26"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E7818"/>
    <w:rsid w:val="000F4C6A"/>
    <w:rsid w:val="00176A25"/>
    <w:rsid w:val="001C4C6F"/>
    <w:rsid w:val="003C0017"/>
    <w:rsid w:val="003D27E2"/>
    <w:rsid w:val="005E7818"/>
    <w:rsid w:val="005F7C76"/>
    <w:rsid w:val="007D7BDB"/>
    <w:rsid w:val="008F0203"/>
    <w:rsid w:val="00A548E7"/>
    <w:rsid w:val="00AE5A26"/>
    <w:rsid w:val="00B15193"/>
    <w:rsid w:val="00B731F1"/>
    <w:rsid w:val="00C20A6A"/>
    <w:rsid w:val="00C22624"/>
    <w:rsid w:val="00D02718"/>
    <w:rsid w:val="00DF2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0D227"/>
  <w15:chartTrackingRefBased/>
  <w15:docId w15:val="{C1DC46EE-5DDF-49E2-A704-4436AB87A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3C0017"/>
    <w:rPr>
      <w:color w:val="0000FF" w:themeColor="hyperlink"/>
      <w:u w:val="single"/>
    </w:rPr>
  </w:style>
  <w:style w:type="character" w:styleId="a8">
    <w:name w:val="Unresolved Mention"/>
    <w:basedOn w:val="a0"/>
    <w:uiPriority w:val="99"/>
    <w:semiHidden/>
    <w:unhideWhenUsed/>
    <w:rsid w:val="003C0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p.gov.cn/spp/xwfbh/wsfbt/202112/t20211212_538590.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2021-12-16T10:10:00Z</dcterms:created>
  <dcterms:modified xsi:type="dcterms:W3CDTF">2021-12-17T03:05:00Z</dcterms:modified>
</cp:coreProperties>
</file>