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E1C6" w14:textId="77777777" w:rsidR="00DD6F78" w:rsidRPr="00DD6F78" w:rsidRDefault="00DD6F78" w:rsidP="007C5F83">
      <w:pPr>
        <w:pStyle w:val="AD"/>
        <w:spacing w:line="276" w:lineRule="auto"/>
        <w:jc w:val="center"/>
        <w:rPr>
          <w:b/>
          <w:bCs/>
          <w:color w:val="E36C0A" w:themeColor="accent6" w:themeShade="BF"/>
          <w:sz w:val="32"/>
          <w:szCs w:val="32"/>
        </w:rPr>
      </w:pPr>
      <w:r w:rsidRPr="00DD6F78">
        <w:rPr>
          <w:rFonts w:hint="eastAsia"/>
          <w:b/>
          <w:bCs/>
          <w:color w:val="E36C0A" w:themeColor="accent6" w:themeShade="BF"/>
          <w:sz w:val="32"/>
          <w:szCs w:val="32"/>
        </w:rPr>
        <w:t>关于深化“证照分离”改革进一步激发市场主体发展活力工作实施方案</w:t>
      </w:r>
    </w:p>
    <w:p w14:paraId="2C6D4F35" w14:textId="77777777" w:rsidR="00DD6F78" w:rsidRDefault="00DD6F78" w:rsidP="007C5F83">
      <w:pPr>
        <w:pStyle w:val="AD"/>
        <w:spacing w:line="276" w:lineRule="auto"/>
      </w:pPr>
    </w:p>
    <w:p w14:paraId="78847BC4" w14:textId="77777777" w:rsidR="00DD6F78" w:rsidRDefault="00DD6F78" w:rsidP="007C5F83">
      <w:pPr>
        <w:pStyle w:val="AD"/>
        <w:spacing w:line="276" w:lineRule="auto"/>
      </w:pPr>
      <w:r>
        <w:rPr>
          <w:rFonts w:hint="eastAsia"/>
        </w:rPr>
        <w:t xml:space="preserve">　　为贯彻落实《国务院关于深化“证照分离”改革进一步激发市场主体发展活力的通知》（国发〔</w:t>
      </w:r>
      <w:r>
        <w:rPr>
          <w:rFonts w:hint="eastAsia"/>
        </w:rPr>
        <w:t>2021</w:t>
      </w:r>
      <w:r>
        <w:rPr>
          <w:rFonts w:hint="eastAsia"/>
        </w:rPr>
        <w:t>〕</w:t>
      </w:r>
      <w:r>
        <w:rPr>
          <w:rFonts w:hint="eastAsia"/>
        </w:rPr>
        <w:t>7</w:t>
      </w:r>
      <w:r>
        <w:rPr>
          <w:rFonts w:hint="eastAsia"/>
        </w:rPr>
        <w:t>号）有关要求，在全国范围内推进自然资源管理涉企经营许可事项“证照分离”改革，持续深化“放管服”改革，在更大范围推进照后减证和简化审批，创新和加强事中事后监管，进一步优化营商环境、激发市场主体发展活力，制定本方案。</w:t>
      </w:r>
    </w:p>
    <w:p w14:paraId="0D8D1467" w14:textId="77777777" w:rsidR="00DD6F78" w:rsidRDefault="00DD6F78" w:rsidP="007C5F83">
      <w:pPr>
        <w:pStyle w:val="AD"/>
        <w:spacing w:line="276" w:lineRule="auto"/>
      </w:pPr>
    </w:p>
    <w:p w14:paraId="7854732E" w14:textId="77777777" w:rsidR="00DD6F78" w:rsidRDefault="00DD6F78" w:rsidP="007C5F83">
      <w:pPr>
        <w:pStyle w:val="AD"/>
        <w:spacing w:line="276" w:lineRule="auto"/>
      </w:pPr>
      <w:r>
        <w:rPr>
          <w:rFonts w:hint="eastAsia"/>
        </w:rPr>
        <w:t xml:space="preserve">　　一、总体要求</w:t>
      </w:r>
    </w:p>
    <w:p w14:paraId="5AD39BA7" w14:textId="77777777" w:rsidR="00DD6F78" w:rsidRDefault="00DD6F78" w:rsidP="007C5F83">
      <w:pPr>
        <w:pStyle w:val="AD"/>
        <w:spacing w:line="276" w:lineRule="auto"/>
      </w:pPr>
    </w:p>
    <w:p w14:paraId="03073DE6" w14:textId="77777777" w:rsidR="00DD6F78" w:rsidRDefault="00DD6F78" w:rsidP="007C5F83">
      <w:pPr>
        <w:pStyle w:val="AD"/>
        <w:spacing w:line="276" w:lineRule="auto"/>
      </w:pPr>
      <w:r>
        <w:rPr>
          <w:rFonts w:hint="eastAsia"/>
        </w:rPr>
        <w:t xml:space="preserve">　　根据国发〔</w:t>
      </w:r>
      <w:r>
        <w:rPr>
          <w:rFonts w:hint="eastAsia"/>
        </w:rPr>
        <w:t>2021</w:t>
      </w:r>
      <w:r>
        <w:rPr>
          <w:rFonts w:hint="eastAsia"/>
        </w:rPr>
        <w:t>〕</w:t>
      </w:r>
      <w:r>
        <w:rPr>
          <w:rFonts w:hint="eastAsia"/>
        </w:rPr>
        <w:t>7</w:t>
      </w:r>
      <w:r>
        <w:rPr>
          <w:rFonts w:hint="eastAsia"/>
        </w:rPr>
        <w:t>号文件有关要求，《中央层面设定的涉企经营许可事项清单（</w:t>
      </w:r>
      <w:r>
        <w:rPr>
          <w:rFonts w:hint="eastAsia"/>
        </w:rPr>
        <w:t>2021</w:t>
      </w:r>
      <w:r>
        <w:rPr>
          <w:rFonts w:hint="eastAsia"/>
        </w:rPr>
        <w:t>年全国版）》规定的自然资源管理涉企经营许可事项，按照直接取消审批、实行告知承诺、优化审批服务等方式分类推进行政审批制度改革，力争</w:t>
      </w:r>
      <w:r>
        <w:rPr>
          <w:rFonts w:hint="eastAsia"/>
        </w:rPr>
        <w:t>2022</w:t>
      </w:r>
      <w:r>
        <w:rPr>
          <w:rFonts w:hint="eastAsia"/>
        </w:rPr>
        <w:t>年底前建立简约高效、公正透明、宽进严管的行业准营规则，大幅提高市场主体办事的便利度和可预期性。</w:t>
      </w:r>
    </w:p>
    <w:p w14:paraId="47DE4711" w14:textId="77777777" w:rsidR="00DD6F78" w:rsidRDefault="00DD6F78" w:rsidP="007C5F83">
      <w:pPr>
        <w:pStyle w:val="AD"/>
        <w:spacing w:line="276" w:lineRule="auto"/>
      </w:pPr>
    </w:p>
    <w:p w14:paraId="35593EF4" w14:textId="77777777" w:rsidR="00DD6F78" w:rsidRDefault="00DD6F78" w:rsidP="007C5F83">
      <w:pPr>
        <w:pStyle w:val="AD"/>
        <w:spacing w:line="276" w:lineRule="auto"/>
      </w:pPr>
      <w:r>
        <w:rPr>
          <w:rFonts w:hint="eastAsia"/>
        </w:rPr>
        <w:t xml:space="preserve">　　二、大力推动照后减证和简化审批</w:t>
      </w:r>
    </w:p>
    <w:p w14:paraId="3BD0F713" w14:textId="77777777" w:rsidR="00DD6F78" w:rsidRDefault="00DD6F78" w:rsidP="007C5F83">
      <w:pPr>
        <w:pStyle w:val="AD"/>
        <w:spacing w:line="276" w:lineRule="auto"/>
      </w:pPr>
    </w:p>
    <w:p w14:paraId="5AA364F9" w14:textId="77777777" w:rsidR="00DD6F78" w:rsidRDefault="00DD6F78" w:rsidP="007C5F83">
      <w:pPr>
        <w:pStyle w:val="AD"/>
        <w:spacing w:line="276" w:lineRule="auto"/>
      </w:pPr>
      <w:r>
        <w:rPr>
          <w:rFonts w:hint="eastAsia"/>
        </w:rPr>
        <w:t xml:space="preserve">　　（一）直接取消审批。</w:t>
      </w:r>
    </w:p>
    <w:p w14:paraId="496592D3" w14:textId="77777777" w:rsidR="00DD6F78" w:rsidRDefault="00DD6F78" w:rsidP="007C5F83">
      <w:pPr>
        <w:pStyle w:val="AD"/>
        <w:spacing w:line="276" w:lineRule="auto"/>
      </w:pPr>
    </w:p>
    <w:p w14:paraId="58BE97D8" w14:textId="77777777" w:rsidR="00DD6F78" w:rsidRDefault="00DD6F78" w:rsidP="007C5F83">
      <w:pPr>
        <w:pStyle w:val="AD"/>
        <w:spacing w:line="276" w:lineRule="auto"/>
      </w:pPr>
      <w:r>
        <w:rPr>
          <w:rFonts w:hint="eastAsia"/>
        </w:rPr>
        <w:t xml:space="preserve">　　在全国范围内，直接取消“城乡规划编制单位丙级资质认定”“地质灾害危险性评估单位丙级资质审批”“地质灾害治理工程勘查单位丙级资质审批”“地质灾害治理工程设计单位丙级资质审批”“地质灾害治理工程施工单位丙级资质审批”“地质灾害治理工程监理单位丙级资质审批”“从事测绘活动的单位丙级资质审批”“从事测绘活动的单位丁级资质审批”等</w:t>
      </w:r>
      <w:r>
        <w:rPr>
          <w:rFonts w:hint="eastAsia"/>
        </w:rPr>
        <w:t>8</w:t>
      </w:r>
      <w:r>
        <w:rPr>
          <w:rFonts w:hint="eastAsia"/>
        </w:rPr>
        <w:t>项涉企经营许可事项。（责任单位：国土空间规划局、地质勘查管理司、国土测绘司，省级自然资源主管部门按职责分工负责）</w:t>
      </w:r>
    </w:p>
    <w:p w14:paraId="22D42897" w14:textId="77777777" w:rsidR="00DD6F78" w:rsidRDefault="00DD6F78" w:rsidP="007C5F83">
      <w:pPr>
        <w:pStyle w:val="AD"/>
        <w:spacing w:line="276" w:lineRule="auto"/>
      </w:pPr>
    </w:p>
    <w:p w14:paraId="4025EAA5" w14:textId="77777777" w:rsidR="00DD6F78" w:rsidRDefault="00DD6F78" w:rsidP="007C5F83">
      <w:pPr>
        <w:pStyle w:val="AD"/>
        <w:spacing w:line="276" w:lineRule="auto"/>
      </w:pPr>
      <w:r>
        <w:rPr>
          <w:rFonts w:hint="eastAsia"/>
        </w:rPr>
        <w:t xml:space="preserve">　　（二）实行告知承诺。</w:t>
      </w:r>
    </w:p>
    <w:p w14:paraId="09A781DA" w14:textId="77777777" w:rsidR="00DD6F78" w:rsidRDefault="00DD6F78" w:rsidP="007C5F83">
      <w:pPr>
        <w:pStyle w:val="AD"/>
        <w:spacing w:line="276" w:lineRule="auto"/>
      </w:pPr>
    </w:p>
    <w:p w14:paraId="7A2D4DBA" w14:textId="77777777" w:rsidR="00DD6F78" w:rsidRDefault="00DD6F78" w:rsidP="007C5F83">
      <w:pPr>
        <w:pStyle w:val="AD"/>
        <w:spacing w:line="276" w:lineRule="auto"/>
      </w:pPr>
      <w:r>
        <w:rPr>
          <w:rFonts w:hint="eastAsia"/>
        </w:rPr>
        <w:t xml:space="preserve">　　</w:t>
      </w:r>
      <w:r>
        <w:rPr>
          <w:rFonts w:hint="eastAsia"/>
        </w:rPr>
        <w:t xml:space="preserve">    </w:t>
      </w:r>
      <w:r>
        <w:rPr>
          <w:rFonts w:hint="eastAsia"/>
        </w:rPr>
        <w:t>在全国范围内，对“城乡规划编制单位乙级资质认定”</w:t>
      </w:r>
      <w:r>
        <w:rPr>
          <w:rFonts w:hint="eastAsia"/>
        </w:rPr>
        <w:t xml:space="preserve"> </w:t>
      </w:r>
      <w:r>
        <w:rPr>
          <w:rFonts w:hint="eastAsia"/>
        </w:rPr>
        <w:t>涉企经营许可事项实行告知承诺。实行告知承诺后，依法列出经营许可条件，对因企业承诺可以减省的审批材料，不再要求企业提供；对可在企业领证后补交的审批材料，实行容缺办理、限期补交。对企业通过全国国土空间规划行业管理信息系统提交资质申请资料并自愿作出承诺的，一个工作日内完成对材料是否符合要求的审查并作出审批决定。（责任单位：国土空间规划局，省级自然资源主管部门按职责分工负责）</w:t>
      </w:r>
    </w:p>
    <w:p w14:paraId="370BC7FD" w14:textId="77777777" w:rsidR="00DD6F78" w:rsidRDefault="00DD6F78" w:rsidP="007C5F83">
      <w:pPr>
        <w:pStyle w:val="AD"/>
        <w:spacing w:line="276" w:lineRule="auto"/>
      </w:pPr>
    </w:p>
    <w:p w14:paraId="5A0412A5" w14:textId="77777777" w:rsidR="00DD6F78" w:rsidRDefault="00DD6F78" w:rsidP="007C5F83">
      <w:pPr>
        <w:pStyle w:val="AD"/>
        <w:spacing w:line="276" w:lineRule="auto"/>
      </w:pPr>
      <w:r>
        <w:rPr>
          <w:rFonts w:hint="eastAsia"/>
        </w:rPr>
        <w:t xml:space="preserve">　　（三）优化审批服务。</w:t>
      </w:r>
    </w:p>
    <w:p w14:paraId="694C26B2" w14:textId="77777777" w:rsidR="00DD6F78" w:rsidRDefault="00DD6F78" w:rsidP="007C5F83">
      <w:pPr>
        <w:pStyle w:val="AD"/>
        <w:spacing w:line="276" w:lineRule="auto"/>
      </w:pPr>
    </w:p>
    <w:p w14:paraId="297563F1" w14:textId="77777777" w:rsidR="00DD6F78" w:rsidRDefault="00DD6F78" w:rsidP="007C5F83">
      <w:pPr>
        <w:pStyle w:val="AD"/>
        <w:spacing w:line="276" w:lineRule="auto"/>
      </w:pPr>
      <w:r>
        <w:rPr>
          <w:rFonts w:hint="eastAsia"/>
        </w:rPr>
        <w:t xml:space="preserve">　　</w:t>
      </w:r>
      <w:r>
        <w:rPr>
          <w:rFonts w:hint="eastAsia"/>
        </w:rPr>
        <w:t>1.</w:t>
      </w:r>
      <w:r>
        <w:rPr>
          <w:rFonts w:hint="eastAsia"/>
        </w:rPr>
        <w:t>在全国范围内，对“城乡规划编制单位甲级资质认定”涉企经营许可事项，优化审批流</w:t>
      </w:r>
      <w:r>
        <w:rPr>
          <w:rFonts w:hint="eastAsia"/>
        </w:rPr>
        <w:lastRenderedPageBreak/>
        <w:t>程，压缩办理时限，提高审批效率。（责任单位：国土空间规划局）</w:t>
      </w:r>
    </w:p>
    <w:p w14:paraId="1787CFE6" w14:textId="77777777" w:rsidR="00DD6F78" w:rsidRDefault="00DD6F78" w:rsidP="007C5F83">
      <w:pPr>
        <w:pStyle w:val="AD"/>
        <w:spacing w:line="276" w:lineRule="auto"/>
      </w:pPr>
    </w:p>
    <w:p w14:paraId="503F58A3" w14:textId="77777777" w:rsidR="00DD6F78" w:rsidRDefault="00DD6F78" w:rsidP="007C5F83">
      <w:pPr>
        <w:pStyle w:val="AD"/>
        <w:spacing w:line="276" w:lineRule="auto"/>
      </w:pPr>
      <w:r>
        <w:rPr>
          <w:rFonts w:hint="eastAsia"/>
        </w:rPr>
        <w:t xml:space="preserve">　　</w:t>
      </w:r>
      <w:r>
        <w:rPr>
          <w:rFonts w:hint="eastAsia"/>
        </w:rPr>
        <w:t>2.</w:t>
      </w:r>
      <w:r>
        <w:rPr>
          <w:rFonts w:hint="eastAsia"/>
        </w:rPr>
        <w:t>对“地质灾害危险性评估单位甲级资质审批”“地质灾害治理工程勘查单位甲级资质审批”“地质灾害治理工程设计单位甲级资质审批”“地质灾害治理工程施工单位甲级资质审批”“地质灾害治理工程监理单位甲级资质审批”“地质灾害危险性评估单位乙级资质审批”“地质灾害治理工程勘查单位乙级资质审批”“地质灾害治理工程设计单位乙级资质审批”“地质灾害治理工程施工单位乙级资质审批”“地质灾害治理工程监理单位乙级资质审批”等</w:t>
      </w:r>
      <w:r>
        <w:rPr>
          <w:rFonts w:hint="eastAsia"/>
        </w:rPr>
        <w:t>10</w:t>
      </w:r>
      <w:r>
        <w:rPr>
          <w:rFonts w:hint="eastAsia"/>
        </w:rPr>
        <w:t>项涉企经营许可事项，精简审批材料，减轻企业负担。（责任单位：地质勘查管理司，省级自然资源主管部门按职责分工负责）</w:t>
      </w:r>
    </w:p>
    <w:p w14:paraId="293833E4" w14:textId="77777777" w:rsidR="00DD6F78" w:rsidRDefault="00DD6F78" w:rsidP="007C5F83">
      <w:pPr>
        <w:pStyle w:val="AD"/>
        <w:spacing w:line="276" w:lineRule="auto"/>
      </w:pPr>
    </w:p>
    <w:p w14:paraId="6C2B8106" w14:textId="77777777" w:rsidR="00DD6F78" w:rsidRDefault="00DD6F78" w:rsidP="007C5F83">
      <w:pPr>
        <w:pStyle w:val="AD"/>
        <w:spacing w:line="276" w:lineRule="auto"/>
      </w:pPr>
      <w:r>
        <w:rPr>
          <w:rFonts w:hint="eastAsia"/>
        </w:rPr>
        <w:t xml:space="preserve">　　</w:t>
      </w:r>
      <w:r>
        <w:rPr>
          <w:rFonts w:hint="eastAsia"/>
        </w:rPr>
        <w:t>3.</w:t>
      </w:r>
      <w:r>
        <w:rPr>
          <w:rFonts w:hint="eastAsia"/>
        </w:rPr>
        <w:t>对“勘查矿产资源审批”“开采矿产资源审批”等</w:t>
      </w:r>
      <w:r>
        <w:rPr>
          <w:rFonts w:hint="eastAsia"/>
        </w:rPr>
        <w:t>2</w:t>
      </w:r>
      <w:r>
        <w:rPr>
          <w:rFonts w:hint="eastAsia"/>
        </w:rPr>
        <w:t>项涉企经营许可事项，精简审批材料，积极探索采取委托等方式、按照有关授权分别将省级自然资源主管部门负责的部分探矿权、采矿权审批权限下放至设区的市、县级自然资源主管部门。（责任单位：矿业权管理司，省级自然资源主管部门按职责分工负责）</w:t>
      </w:r>
    </w:p>
    <w:p w14:paraId="5C01C328" w14:textId="77777777" w:rsidR="00DD6F78" w:rsidRDefault="00DD6F78" w:rsidP="007C5F83">
      <w:pPr>
        <w:pStyle w:val="AD"/>
        <w:spacing w:line="276" w:lineRule="auto"/>
      </w:pPr>
    </w:p>
    <w:p w14:paraId="4AA8B8A9" w14:textId="77777777" w:rsidR="00DD6F78" w:rsidRDefault="00DD6F78" w:rsidP="007C5F83">
      <w:pPr>
        <w:pStyle w:val="AD"/>
        <w:spacing w:line="276" w:lineRule="auto"/>
      </w:pPr>
      <w:r>
        <w:rPr>
          <w:rFonts w:hint="eastAsia"/>
        </w:rPr>
        <w:t xml:space="preserve">　　</w:t>
      </w:r>
      <w:r>
        <w:rPr>
          <w:rFonts w:hint="eastAsia"/>
        </w:rPr>
        <w:t>4.</w:t>
      </w:r>
      <w:r>
        <w:rPr>
          <w:rFonts w:hint="eastAsia"/>
        </w:rPr>
        <w:t>对“从事测绘活动的单位甲级资质审批”“从事测绘活动的单位乙级资质审批”等</w:t>
      </w:r>
      <w:r>
        <w:rPr>
          <w:rFonts w:hint="eastAsia"/>
        </w:rPr>
        <w:t>2</w:t>
      </w:r>
      <w:r>
        <w:rPr>
          <w:rFonts w:hint="eastAsia"/>
        </w:rPr>
        <w:t>项涉企经营许可事项，精简专业类别子项，将除导航电子地图制作以外的其余</w:t>
      </w:r>
      <w:r>
        <w:rPr>
          <w:rFonts w:hint="eastAsia"/>
        </w:rPr>
        <w:t>9</w:t>
      </w:r>
      <w:r>
        <w:rPr>
          <w:rFonts w:hint="eastAsia"/>
        </w:rPr>
        <w:t>个甲级资质的审批权限，由自然资源部下放至省级自然资源主管部门。（责任单位：国土测绘司，省级自然资源主管部门，陕西测绘地理信息局、四川测绘地理信息局、黑龙江测绘地理信息局、海南测绘地理信息局按职责分工负责）</w:t>
      </w:r>
    </w:p>
    <w:p w14:paraId="45C11126" w14:textId="77777777" w:rsidR="00DD6F78" w:rsidRDefault="00DD6F78" w:rsidP="007C5F83">
      <w:pPr>
        <w:pStyle w:val="AD"/>
        <w:spacing w:line="276" w:lineRule="auto"/>
      </w:pPr>
    </w:p>
    <w:p w14:paraId="1ABBABE9" w14:textId="77777777" w:rsidR="00DD6F78" w:rsidRDefault="00DD6F78" w:rsidP="007C5F83">
      <w:pPr>
        <w:pStyle w:val="AD"/>
        <w:spacing w:line="276" w:lineRule="auto"/>
      </w:pPr>
      <w:r>
        <w:rPr>
          <w:rFonts w:hint="eastAsia"/>
        </w:rPr>
        <w:t xml:space="preserve">　　</w:t>
      </w:r>
      <w:r>
        <w:rPr>
          <w:rFonts w:hint="eastAsia"/>
        </w:rPr>
        <w:t>5.</w:t>
      </w:r>
      <w:r>
        <w:rPr>
          <w:rFonts w:hint="eastAsia"/>
        </w:rPr>
        <w:t>对“深海海底区域资源勘探开发许可”涉企经营许可事项，优化审批流程，提高审批效率。（责任单位：中国大洋事务管理局）</w:t>
      </w:r>
    </w:p>
    <w:p w14:paraId="2CBEB99A" w14:textId="77777777" w:rsidR="00DD6F78" w:rsidRDefault="00DD6F78" w:rsidP="007C5F83">
      <w:pPr>
        <w:pStyle w:val="AD"/>
        <w:spacing w:line="276" w:lineRule="auto"/>
      </w:pPr>
    </w:p>
    <w:p w14:paraId="2BE30603" w14:textId="77777777" w:rsidR="00DD6F78" w:rsidRDefault="00DD6F78" w:rsidP="007C5F83">
      <w:pPr>
        <w:pStyle w:val="AD"/>
        <w:spacing w:line="276" w:lineRule="auto"/>
      </w:pPr>
      <w:r>
        <w:rPr>
          <w:rFonts w:hint="eastAsia"/>
        </w:rPr>
        <w:t xml:space="preserve">　　三、加强事中事后监管</w:t>
      </w:r>
    </w:p>
    <w:p w14:paraId="3F6A7C5A" w14:textId="77777777" w:rsidR="00DD6F78" w:rsidRDefault="00DD6F78" w:rsidP="007C5F83">
      <w:pPr>
        <w:pStyle w:val="AD"/>
        <w:spacing w:line="276" w:lineRule="auto"/>
      </w:pPr>
    </w:p>
    <w:p w14:paraId="73316BAC" w14:textId="77777777" w:rsidR="00DD6F78" w:rsidRDefault="00DD6F78" w:rsidP="007C5F83">
      <w:pPr>
        <w:pStyle w:val="AD"/>
        <w:spacing w:line="276" w:lineRule="auto"/>
      </w:pPr>
      <w:r>
        <w:rPr>
          <w:rFonts w:hint="eastAsia"/>
        </w:rPr>
        <w:t xml:space="preserve">　　坚持放管结合、并重要求，按照“谁审批、谁监管，谁主管、谁监管”的原则，切实履行监管职责，防止出现监管真空。</w:t>
      </w:r>
    </w:p>
    <w:p w14:paraId="49FCA3AA" w14:textId="77777777" w:rsidR="00DD6F78" w:rsidRDefault="00DD6F78" w:rsidP="007C5F83">
      <w:pPr>
        <w:pStyle w:val="AD"/>
        <w:spacing w:line="276" w:lineRule="auto"/>
      </w:pPr>
    </w:p>
    <w:p w14:paraId="7C1F8619" w14:textId="77777777" w:rsidR="00DD6F78" w:rsidRDefault="00DD6F78" w:rsidP="007C5F83">
      <w:pPr>
        <w:pStyle w:val="AD"/>
        <w:spacing w:line="276" w:lineRule="auto"/>
      </w:pPr>
      <w:r>
        <w:rPr>
          <w:rFonts w:hint="eastAsia"/>
        </w:rPr>
        <w:t xml:space="preserve">　　（一）明确监管责任。直接取消的，由原审批机关依法承担监管职责。实行告知承诺、优化审批服务的，由审批机关负责依法监管、查处违法行为。</w:t>
      </w:r>
    </w:p>
    <w:p w14:paraId="60686903" w14:textId="77777777" w:rsidR="00DD6F78" w:rsidRDefault="00DD6F78" w:rsidP="007C5F83">
      <w:pPr>
        <w:pStyle w:val="AD"/>
        <w:spacing w:line="276" w:lineRule="auto"/>
      </w:pPr>
    </w:p>
    <w:p w14:paraId="209182B7" w14:textId="77777777" w:rsidR="00DD6F78" w:rsidRDefault="00DD6F78" w:rsidP="007C5F83">
      <w:pPr>
        <w:pStyle w:val="AD"/>
        <w:spacing w:line="276" w:lineRule="auto"/>
      </w:pPr>
      <w:r>
        <w:rPr>
          <w:rFonts w:hint="eastAsia"/>
        </w:rPr>
        <w:t xml:space="preserve">　　（二）健全监管规则。直接取消审批的，原审批机关要及时掌握有关情况，依法实施监管。实行告知承诺的，审批机关要重点检查企业履行承诺情况；发现企业违反承诺的，要责令限期整改，逾期不整改或者整改后仍未履行承诺的，要依法撤销许可。</w:t>
      </w:r>
    </w:p>
    <w:p w14:paraId="09506C2B" w14:textId="77777777" w:rsidR="00DD6F78" w:rsidRDefault="00DD6F78" w:rsidP="007C5F83">
      <w:pPr>
        <w:pStyle w:val="AD"/>
        <w:spacing w:line="276" w:lineRule="auto"/>
      </w:pPr>
    </w:p>
    <w:p w14:paraId="6D525E3F" w14:textId="77777777" w:rsidR="00DD6F78" w:rsidRDefault="00DD6F78" w:rsidP="007C5F83">
      <w:pPr>
        <w:pStyle w:val="AD"/>
        <w:spacing w:line="276" w:lineRule="auto"/>
      </w:pPr>
      <w:r>
        <w:rPr>
          <w:rFonts w:hint="eastAsia"/>
        </w:rPr>
        <w:t xml:space="preserve">　　（三）完善监管方法。对一般行业、领域，全面推行“双随机、一公开”监管，对投诉举报等渠道反映问题多、严重违法经营的企业实施重点监管。对直接涉及公共安全和人民群众生命健康等特殊行业、重点领域，落实全覆盖重点监管，强化全过程质量管理。进一步强化信用</w:t>
      </w:r>
      <w:r>
        <w:rPr>
          <w:rFonts w:hint="eastAsia"/>
        </w:rPr>
        <w:lastRenderedPageBreak/>
        <w:t>监管，依法依规实施失信惩戒。</w:t>
      </w:r>
    </w:p>
    <w:p w14:paraId="0BF692AC" w14:textId="77777777" w:rsidR="00DD6F78" w:rsidRDefault="00DD6F78" w:rsidP="007C5F83">
      <w:pPr>
        <w:pStyle w:val="AD"/>
        <w:spacing w:line="276" w:lineRule="auto"/>
      </w:pPr>
    </w:p>
    <w:p w14:paraId="0D6586A9" w14:textId="77777777" w:rsidR="00DD6F78" w:rsidRDefault="00DD6F78" w:rsidP="007C5F83">
      <w:pPr>
        <w:pStyle w:val="AD"/>
        <w:spacing w:line="276" w:lineRule="auto"/>
      </w:pPr>
      <w:r>
        <w:rPr>
          <w:rFonts w:hint="eastAsia"/>
        </w:rPr>
        <w:t xml:space="preserve">　　四、工作要求</w:t>
      </w:r>
    </w:p>
    <w:p w14:paraId="0AEBC163" w14:textId="77777777" w:rsidR="00DD6F78" w:rsidRDefault="00DD6F78" w:rsidP="007C5F83">
      <w:pPr>
        <w:pStyle w:val="AD"/>
        <w:spacing w:line="276" w:lineRule="auto"/>
      </w:pPr>
    </w:p>
    <w:p w14:paraId="1166AB17" w14:textId="77777777" w:rsidR="00DD6F78" w:rsidRDefault="00DD6F78" w:rsidP="007C5F83">
      <w:pPr>
        <w:pStyle w:val="AD"/>
        <w:spacing w:line="276" w:lineRule="auto"/>
      </w:pPr>
      <w:r>
        <w:rPr>
          <w:rFonts w:hint="eastAsia"/>
        </w:rPr>
        <w:t xml:space="preserve">　　（一）加强组织领导。各级自然资源主管部门要高度重视深化“证照分离”改革工作，认真贯彻落实国发〔</w:t>
      </w:r>
      <w:r>
        <w:rPr>
          <w:rFonts w:hint="eastAsia"/>
        </w:rPr>
        <w:t>2021</w:t>
      </w:r>
      <w:r>
        <w:rPr>
          <w:rFonts w:hint="eastAsia"/>
        </w:rPr>
        <w:t>〕</w:t>
      </w:r>
      <w:r>
        <w:rPr>
          <w:rFonts w:hint="eastAsia"/>
        </w:rPr>
        <w:t>7</w:t>
      </w:r>
      <w:r>
        <w:rPr>
          <w:rFonts w:hint="eastAsia"/>
        </w:rPr>
        <w:t>号文件有关要求，强化主体责任，抓好工作落实。部机关有关司局要及时与省级自然资源主管部门做好沟通、指导和支持。</w:t>
      </w:r>
    </w:p>
    <w:p w14:paraId="2ABE46B5" w14:textId="77777777" w:rsidR="00DD6F78" w:rsidRDefault="00DD6F78" w:rsidP="007C5F83">
      <w:pPr>
        <w:pStyle w:val="AD"/>
        <w:spacing w:line="276" w:lineRule="auto"/>
      </w:pPr>
    </w:p>
    <w:p w14:paraId="60AB4DD1" w14:textId="77777777" w:rsidR="00DD6F78" w:rsidRDefault="00DD6F78" w:rsidP="007C5F83">
      <w:pPr>
        <w:pStyle w:val="AD"/>
        <w:spacing w:line="276" w:lineRule="auto"/>
      </w:pPr>
      <w:r>
        <w:rPr>
          <w:rFonts w:hint="eastAsia"/>
        </w:rPr>
        <w:t xml:space="preserve">　　（二）加强改革法治保障。各级自然资源主管部门要及时根据立法工作权限和程序，抓紧推动有关规章和规范性文件的立改废，固化改革成果。</w:t>
      </w:r>
    </w:p>
    <w:p w14:paraId="26D53061" w14:textId="77777777" w:rsidR="00DD6F78" w:rsidRDefault="00DD6F78" w:rsidP="007C5F83">
      <w:pPr>
        <w:pStyle w:val="AD"/>
        <w:spacing w:line="276" w:lineRule="auto"/>
      </w:pPr>
    </w:p>
    <w:p w14:paraId="5BADD0D4" w14:textId="77777777" w:rsidR="00DD6F78" w:rsidRDefault="00DD6F78" w:rsidP="007C5F83">
      <w:pPr>
        <w:pStyle w:val="AD"/>
        <w:spacing w:line="276" w:lineRule="auto"/>
      </w:pPr>
      <w:r>
        <w:rPr>
          <w:rFonts w:hint="eastAsia"/>
        </w:rPr>
        <w:t xml:space="preserve">　　（三）做好改革政策培训和服务相关工作。各级自然资源主管部门要做好改革政策工作培训和宣传解读，调整优化相关业务流程，修订完善相关工作规则和服务指南，改革升级相关信息系统，确保改革措施全面落实。</w:t>
      </w:r>
    </w:p>
    <w:p w14:paraId="36313BD1" w14:textId="77777777" w:rsidR="00DD6F78" w:rsidRDefault="00DD6F78" w:rsidP="007C5F83">
      <w:pPr>
        <w:pStyle w:val="AD"/>
        <w:spacing w:line="276" w:lineRule="auto"/>
      </w:pPr>
    </w:p>
    <w:p w14:paraId="19D0A2DC" w14:textId="66D8BA7A" w:rsidR="00DD6F78" w:rsidRDefault="00DD6F78" w:rsidP="007C5F83">
      <w:pPr>
        <w:pStyle w:val="AD"/>
        <w:spacing w:line="276" w:lineRule="auto"/>
      </w:pPr>
      <w:r>
        <w:rPr>
          <w:rFonts w:hint="eastAsia"/>
        </w:rPr>
        <w:t>附件</w:t>
      </w:r>
      <w:r w:rsidR="00002EFE">
        <w:rPr>
          <w:rFonts w:hint="eastAsia"/>
        </w:rPr>
        <w:t>：</w:t>
      </w:r>
    </w:p>
    <w:p w14:paraId="0EDC921E" w14:textId="54E4FCE7" w:rsidR="00B15193" w:rsidRDefault="005118F9" w:rsidP="007C5F83">
      <w:pPr>
        <w:pStyle w:val="AD"/>
        <w:spacing w:line="276" w:lineRule="auto"/>
      </w:pPr>
      <w:hyperlink r:id="rId6" w:history="1">
        <w:r w:rsidR="00DD6F78" w:rsidRPr="005118F9">
          <w:rPr>
            <w:rStyle w:val="a7"/>
            <w:rFonts w:hint="eastAsia"/>
          </w:rPr>
          <w:t>中央层面设定的自然资源管理涉企经营许可事项清单（</w:t>
        </w:r>
        <w:r w:rsidR="00DD6F78" w:rsidRPr="005118F9">
          <w:rPr>
            <w:rStyle w:val="a7"/>
            <w:rFonts w:hint="eastAsia"/>
          </w:rPr>
          <w:t>2021</w:t>
        </w:r>
        <w:r w:rsidR="00DD6F78" w:rsidRPr="005118F9">
          <w:rPr>
            <w:rStyle w:val="a7"/>
            <w:rFonts w:hint="eastAsia"/>
          </w:rPr>
          <w:t>年全国版）</w:t>
        </w:r>
      </w:hyperlink>
    </w:p>
    <w:p w14:paraId="63C8B030" w14:textId="251C1009" w:rsidR="00DD6F78" w:rsidRDefault="00DD6F78" w:rsidP="007C5F83">
      <w:pPr>
        <w:pStyle w:val="AD"/>
        <w:spacing w:line="276" w:lineRule="auto"/>
      </w:pPr>
    </w:p>
    <w:p w14:paraId="409FE0A4" w14:textId="5079D655" w:rsidR="00DD6F78" w:rsidRDefault="00DD6F78" w:rsidP="007C5F83">
      <w:pPr>
        <w:pStyle w:val="AD"/>
        <w:spacing w:line="276" w:lineRule="auto"/>
      </w:pPr>
    </w:p>
    <w:p w14:paraId="6D206427" w14:textId="457C2CCE" w:rsidR="00DD6F78" w:rsidRDefault="00DD6F78" w:rsidP="007C5F83">
      <w:pPr>
        <w:pStyle w:val="AD"/>
        <w:spacing w:line="276" w:lineRule="auto"/>
      </w:pPr>
      <w:r>
        <w:rPr>
          <w:rFonts w:hint="eastAsia"/>
        </w:rPr>
        <w:t>信息来源：</w:t>
      </w:r>
      <w:hyperlink r:id="rId7" w:history="1">
        <w:r w:rsidRPr="00F33980">
          <w:rPr>
            <w:rStyle w:val="a7"/>
          </w:rPr>
          <w:t>http://gi.mnr.gov.cn/202112/t20211207_2709944.html</w:t>
        </w:r>
      </w:hyperlink>
    </w:p>
    <w:p w14:paraId="6DB88C87" w14:textId="77777777" w:rsidR="00DD6F78" w:rsidRPr="00DD6F78" w:rsidRDefault="00DD6F78" w:rsidP="007C5F83">
      <w:pPr>
        <w:pStyle w:val="AD"/>
        <w:spacing w:line="276" w:lineRule="auto"/>
      </w:pPr>
    </w:p>
    <w:sectPr w:rsidR="00DD6F78" w:rsidRPr="00DD6F7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39AA" w14:textId="77777777" w:rsidR="00641AA7" w:rsidRDefault="00641AA7" w:rsidP="00C20A6A">
      <w:pPr>
        <w:spacing w:line="240" w:lineRule="auto"/>
      </w:pPr>
      <w:r>
        <w:separator/>
      </w:r>
    </w:p>
  </w:endnote>
  <w:endnote w:type="continuationSeparator" w:id="0">
    <w:p w14:paraId="19F0DD1D" w14:textId="77777777" w:rsidR="00641AA7" w:rsidRDefault="00641AA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AA6D" w14:textId="77777777" w:rsidR="00641AA7" w:rsidRDefault="00641AA7" w:rsidP="00C20A6A">
      <w:pPr>
        <w:spacing w:line="240" w:lineRule="auto"/>
      </w:pPr>
      <w:r>
        <w:separator/>
      </w:r>
    </w:p>
  </w:footnote>
  <w:footnote w:type="continuationSeparator" w:id="0">
    <w:p w14:paraId="6F4E477C" w14:textId="77777777" w:rsidR="00641AA7" w:rsidRDefault="00641AA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0A40"/>
    <w:rsid w:val="00002EFE"/>
    <w:rsid w:val="000E0A40"/>
    <w:rsid w:val="000F4C6A"/>
    <w:rsid w:val="00176A25"/>
    <w:rsid w:val="001C4C6F"/>
    <w:rsid w:val="003D27E2"/>
    <w:rsid w:val="005118F9"/>
    <w:rsid w:val="005F7C76"/>
    <w:rsid w:val="00641AA7"/>
    <w:rsid w:val="007C5F83"/>
    <w:rsid w:val="007D7BDB"/>
    <w:rsid w:val="008D3F49"/>
    <w:rsid w:val="00A548E7"/>
    <w:rsid w:val="00B15193"/>
    <w:rsid w:val="00B731F1"/>
    <w:rsid w:val="00C20A6A"/>
    <w:rsid w:val="00C22624"/>
    <w:rsid w:val="00CA00A8"/>
    <w:rsid w:val="00D02718"/>
    <w:rsid w:val="00DD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73766"/>
  <w15:chartTrackingRefBased/>
  <w15:docId w15:val="{FAE0BA63-B0EA-44D0-BF57-4357ECBC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D6F78"/>
    <w:rPr>
      <w:color w:val="0000FF" w:themeColor="hyperlink"/>
      <w:u w:val="single"/>
    </w:rPr>
  </w:style>
  <w:style w:type="character" w:styleId="a8">
    <w:name w:val="Unresolved Mention"/>
    <w:basedOn w:val="a0"/>
    <w:uiPriority w:val="99"/>
    <w:semiHidden/>
    <w:unhideWhenUsed/>
    <w:rsid w:val="00DD6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i.mnr.gov.cn/202112/t20211207_270994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1209010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2021-12-09T06:22:00Z</dcterms:created>
  <dcterms:modified xsi:type="dcterms:W3CDTF">2021-12-10T02:52:00Z</dcterms:modified>
</cp:coreProperties>
</file>