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2DF0" w14:textId="76554E42" w:rsidR="00761CD8" w:rsidRPr="00934D80" w:rsidRDefault="00761CD8" w:rsidP="00D47140">
      <w:pPr>
        <w:pStyle w:val="AD"/>
        <w:spacing w:line="276" w:lineRule="auto"/>
        <w:jc w:val="center"/>
        <w:rPr>
          <w:b/>
          <w:bCs/>
          <w:color w:val="E36C0A" w:themeColor="accent6" w:themeShade="BF"/>
          <w:sz w:val="32"/>
          <w:szCs w:val="32"/>
        </w:rPr>
      </w:pPr>
      <w:r w:rsidRPr="00934D80">
        <w:rPr>
          <w:rFonts w:hint="eastAsia"/>
          <w:b/>
          <w:bCs/>
          <w:color w:val="E36C0A" w:themeColor="accent6" w:themeShade="BF"/>
          <w:sz w:val="32"/>
          <w:szCs w:val="32"/>
        </w:rPr>
        <w:t>关于保险资金投资公开募集基础设施证券投资基金有关事项的通知</w:t>
      </w:r>
    </w:p>
    <w:p w14:paraId="65050FE0" w14:textId="4363AB5C" w:rsidR="00761CD8" w:rsidRDefault="00761CD8" w:rsidP="00D47140">
      <w:pPr>
        <w:pStyle w:val="AD"/>
        <w:spacing w:line="276" w:lineRule="auto"/>
        <w:jc w:val="center"/>
      </w:pPr>
      <w:r>
        <w:rPr>
          <w:rFonts w:hint="eastAsia"/>
        </w:rPr>
        <w:t>银保监办发〔</w:t>
      </w:r>
      <w:r>
        <w:rPr>
          <w:rFonts w:hint="eastAsia"/>
        </w:rPr>
        <w:t>2021</w:t>
      </w:r>
      <w:r>
        <w:rPr>
          <w:rFonts w:hint="eastAsia"/>
        </w:rPr>
        <w:t>〕</w:t>
      </w:r>
      <w:r>
        <w:rPr>
          <w:rFonts w:hint="eastAsia"/>
        </w:rPr>
        <w:t>120</w:t>
      </w:r>
      <w:r>
        <w:rPr>
          <w:rFonts w:hint="eastAsia"/>
        </w:rPr>
        <w:t>号</w:t>
      </w:r>
    </w:p>
    <w:p w14:paraId="61B1B765" w14:textId="77777777" w:rsidR="00506168" w:rsidRDefault="00506168" w:rsidP="00D47140">
      <w:pPr>
        <w:pStyle w:val="AD"/>
        <w:spacing w:line="276" w:lineRule="auto"/>
      </w:pPr>
    </w:p>
    <w:p w14:paraId="0E3EED5A" w14:textId="77777777" w:rsidR="00761CD8" w:rsidRDefault="00761CD8" w:rsidP="00D47140">
      <w:pPr>
        <w:pStyle w:val="AD"/>
        <w:spacing w:line="276" w:lineRule="auto"/>
      </w:pPr>
      <w:r>
        <w:rPr>
          <w:rFonts w:hint="eastAsia"/>
        </w:rPr>
        <w:t>各保险集团（控股）公司、保险公司、保险资产管理公司：</w:t>
      </w:r>
    </w:p>
    <w:p w14:paraId="1F245B88" w14:textId="77777777" w:rsidR="00761CD8" w:rsidRDefault="00761CD8" w:rsidP="00D47140">
      <w:pPr>
        <w:pStyle w:val="AD"/>
        <w:spacing w:line="276" w:lineRule="auto"/>
      </w:pPr>
    </w:p>
    <w:p w14:paraId="50D82EF8" w14:textId="77777777" w:rsidR="00761CD8" w:rsidRDefault="00761CD8" w:rsidP="00D47140">
      <w:pPr>
        <w:pStyle w:val="AD"/>
        <w:spacing w:line="276" w:lineRule="auto"/>
      </w:pPr>
      <w:r>
        <w:rPr>
          <w:rFonts w:hint="eastAsia"/>
        </w:rPr>
        <w:t>为进一步丰富保险资产配置结构，助力盘活基础设施存量资产，提高直接融资比重，根据《保险资金运用管理办法》《保险公司投资证券投资基金管理暂行办法》《保险资金投资不动产暂行办法》等规定，经银保监会同意，现就保险资金投资公开募集基础设施证券投资基金（以下简称基础设施基金）有关事项通知如下：</w:t>
      </w:r>
    </w:p>
    <w:p w14:paraId="108ED3A3" w14:textId="77777777" w:rsidR="00761CD8" w:rsidRDefault="00761CD8" w:rsidP="00D47140">
      <w:pPr>
        <w:pStyle w:val="AD"/>
        <w:spacing w:line="276" w:lineRule="auto"/>
      </w:pPr>
    </w:p>
    <w:p w14:paraId="5259CB23" w14:textId="77777777" w:rsidR="00761CD8" w:rsidRDefault="00761CD8" w:rsidP="00D47140">
      <w:pPr>
        <w:pStyle w:val="AD"/>
        <w:spacing w:line="276" w:lineRule="auto"/>
      </w:pPr>
      <w:r>
        <w:rPr>
          <w:rFonts w:hint="eastAsia"/>
        </w:rPr>
        <w:t>一、本通知所称基础设施基金，是指依据国务院证券监督管理机构有关规定设立并公开发行，由符合条件的基金管理人管理，主要投资于基础设施资产支持证券并通过资产支持证券持有基础设施项目公司全部股权的基金产品。</w:t>
      </w:r>
    </w:p>
    <w:p w14:paraId="59D2DD06" w14:textId="77777777" w:rsidR="00761CD8" w:rsidRDefault="00761CD8" w:rsidP="00D47140">
      <w:pPr>
        <w:pStyle w:val="AD"/>
        <w:spacing w:line="276" w:lineRule="auto"/>
      </w:pPr>
    </w:p>
    <w:p w14:paraId="09760AD2" w14:textId="77777777" w:rsidR="00761CD8" w:rsidRDefault="00761CD8" w:rsidP="00D47140">
      <w:pPr>
        <w:pStyle w:val="AD"/>
        <w:spacing w:line="276" w:lineRule="auto"/>
      </w:pPr>
      <w:r>
        <w:rPr>
          <w:rFonts w:hint="eastAsia"/>
        </w:rPr>
        <w:t>二、保险集团（控股）公司、保险公司、保险资产管理公司（以下统称保险机构）开展基础设施基金投资业务的，应当公司治理完善，市场信誉良好，具备健全有效的内部控制体系和投资管理制度，经营审慎稳健。</w:t>
      </w:r>
    </w:p>
    <w:p w14:paraId="1089D363" w14:textId="77777777" w:rsidR="00761CD8" w:rsidRDefault="00761CD8" w:rsidP="00D47140">
      <w:pPr>
        <w:pStyle w:val="AD"/>
        <w:spacing w:line="276" w:lineRule="auto"/>
      </w:pPr>
    </w:p>
    <w:p w14:paraId="127F402E" w14:textId="77777777" w:rsidR="00761CD8" w:rsidRDefault="00761CD8" w:rsidP="00D47140">
      <w:pPr>
        <w:pStyle w:val="AD"/>
        <w:spacing w:line="276" w:lineRule="auto"/>
      </w:pPr>
      <w:r>
        <w:rPr>
          <w:rFonts w:hint="eastAsia"/>
        </w:rPr>
        <w:t>三、保险集团（控股）公司和保险公司自行投资基础设施基金的，应当具备不动产投资管理能力，最近一年资产负债管理能力评估结果不得低于</w:t>
      </w:r>
      <w:r>
        <w:rPr>
          <w:rFonts w:hint="eastAsia"/>
        </w:rPr>
        <w:t>80</w:t>
      </w:r>
      <w:r>
        <w:rPr>
          <w:rFonts w:hint="eastAsia"/>
        </w:rPr>
        <w:t>分，上季度末综合偿付能力充足率不得低于</w:t>
      </w:r>
      <w:r>
        <w:rPr>
          <w:rFonts w:hint="eastAsia"/>
        </w:rPr>
        <w:t>150%</w:t>
      </w:r>
      <w:r>
        <w:rPr>
          <w:rFonts w:hint="eastAsia"/>
        </w:rPr>
        <w:t>。</w:t>
      </w:r>
    </w:p>
    <w:p w14:paraId="36CDD591" w14:textId="77777777" w:rsidR="00761CD8" w:rsidRDefault="00761CD8" w:rsidP="00D47140">
      <w:pPr>
        <w:pStyle w:val="AD"/>
        <w:spacing w:line="276" w:lineRule="auto"/>
      </w:pPr>
    </w:p>
    <w:p w14:paraId="1186DFA4" w14:textId="77777777" w:rsidR="00761CD8" w:rsidRDefault="00761CD8" w:rsidP="00D47140">
      <w:pPr>
        <w:pStyle w:val="AD"/>
        <w:spacing w:line="276" w:lineRule="auto"/>
      </w:pPr>
      <w:r>
        <w:rPr>
          <w:rFonts w:hint="eastAsia"/>
        </w:rPr>
        <w:t>保险集团（控股）公司和保险公司委托保险资产管理公司及其他专业管理机构投资基础设施基金的，最近一年资产负债管理能力评估结果不得低于</w:t>
      </w:r>
      <w:r>
        <w:rPr>
          <w:rFonts w:hint="eastAsia"/>
        </w:rPr>
        <w:t>60</w:t>
      </w:r>
      <w:r>
        <w:rPr>
          <w:rFonts w:hint="eastAsia"/>
        </w:rPr>
        <w:t>分，上季度末综合偿付能力充足率不得低于</w:t>
      </w:r>
      <w:r>
        <w:rPr>
          <w:rFonts w:hint="eastAsia"/>
        </w:rPr>
        <w:t>120%</w:t>
      </w:r>
      <w:r>
        <w:rPr>
          <w:rFonts w:hint="eastAsia"/>
        </w:rPr>
        <w:t>。</w:t>
      </w:r>
    </w:p>
    <w:p w14:paraId="7E3E4062" w14:textId="77777777" w:rsidR="00761CD8" w:rsidRDefault="00761CD8" w:rsidP="00D47140">
      <w:pPr>
        <w:pStyle w:val="AD"/>
        <w:spacing w:line="276" w:lineRule="auto"/>
      </w:pPr>
    </w:p>
    <w:p w14:paraId="3538FD71" w14:textId="77777777" w:rsidR="00761CD8" w:rsidRDefault="00761CD8" w:rsidP="00D47140">
      <w:pPr>
        <w:pStyle w:val="AD"/>
        <w:spacing w:line="276" w:lineRule="auto"/>
      </w:pPr>
      <w:r>
        <w:rPr>
          <w:rFonts w:hint="eastAsia"/>
        </w:rPr>
        <w:t>四、保险资产管理公司受托管理保险资金或通过保险资产管理产品投资基础设施基金的，应当具备债权投资计划产品管理能力，且公司最近一年监管评级结果不得低于</w:t>
      </w:r>
      <w:r>
        <w:rPr>
          <w:rFonts w:hint="eastAsia"/>
        </w:rPr>
        <w:t>C</w:t>
      </w:r>
      <w:r>
        <w:rPr>
          <w:rFonts w:hint="eastAsia"/>
        </w:rPr>
        <w:t>类。</w:t>
      </w:r>
    </w:p>
    <w:p w14:paraId="665FAC0B" w14:textId="77777777" w:rsidR="00761CD8" w:rsidRDefault="00761CD8" w:rsidP="00D47140">
      <w:pPr>
        <w:pStyle w:val="AD"/>
        <w:spacing w:line="276" w:lineRule="auto"/>
      </w:pPr>
    </w:p>
    <w:p w14:paraId="7F581395" w14:textId="77777777" w:rsidR="00761CD8" w:rsidRDefault="00761CD8" w:rsidP="00D47140">
      <w:pPr>
        <w:pStyle w:val="AD"/>
        <w:spacing w:line="276" w:lineRule="auto"/>
      </w:pPr>
      <w:r>
        <w:rPr>
          <w:rFonts w:hint="eastAsia"/>
        </w:rPr>
        <w:t>五、保险资金投资的基础设施基金，基金管理人和资产支持证券管理人在注册资本、管理资产、专业人员、资产托管、风险隔离等方面，应当符合银保监会关于保险资金投资不动产相关金融产品的监管要求。其中，基金管理人和资产支持证券管理人的管理资产和专业人员可以合并计算。</w:t>
      </w:r>
    </w:p>
    <w:p w14:paraId="70F4496A" w14:textId="77777777" w:rsidR="00761CD8" w:rsidRDefault="00761CD8" w:rsidP="00D47140">
      <w:pPr>
        <w:pStyle w:val="AD"/>
        <w:spacing w:line="276" w:lineRule="auto"/>
      </w:pPr>
    </w:p>
    <w:p w14:paraId="66B1654F" w14:textId="77777777" w:rsidR="00761CD8" w:rsidRDefault="00761CD8" w:rsidP="00D47140">
      <w:pPr>
        <w:pStyle w:val="AD"/>
        <w:spacing w:line="276" w:lineRule="auto"/>
      </w:pPr>
      <w:r>
        <w:rPr>
          <w:rFonts w:hint="eastAsia"/>
        </w:rPr>
        <w:t>六、保险机构应当健全公司治理，完善投资基础设施基金的决策程序和授权机制，建立相对集中、分级管理、权责一致的投资决策和授权制度，明确相关决策机构的决策权限。</w:t>
      </w:r>
    </w:p>
    <w:p w14:paraId="3E888701" w14:textId="77777777" w:rsidR="00761CD8" w:rsidRDefault="00761CD8" w:rsidP="00D47140">
      <w:pPr>
        <w:pStyle w:val="AD"/>
        <w:spacing w:line="276" w:lineRule="auto"/>
      </w:pPr>
    </w:p>
    <w:p w14:paraId="16AFFC25" w14:textId="77777777" w:rsidR="00761CD8" w:rsidRDefault="00761CD8" w:rsidP="00D47140">
      <w:pPr>
        <w:pStyle w:val="AD"/>
        <w:spacing w:line="276" w:lineRule="auto"/>
      </w:pPr>
      <w:r>
        <w:rPr>
          <w:rFonts w:hint="eastAsia"/>
        </w:rPr>
        <w:lastRenderedPageBreak/>
        <w:t>七、保险集团（控股）公司和保险公司投资的基础设施基金及投资于基础设施基金比例不低于</w:t>
      </w:r>
      <w:r>
        <w:rPr>
          <w:rFonts w:hint="eastAsia"/>
        </w:rPr>
        <w:t>80%</w:t>
      </w:r>
      <w:r>
        <w:rPr>
          <w:rFonts w:hint="eastAsia"/>
        </w:rPr>
        <w:t>的资产管理产品，应当纳入不动产类资产投资比例管理。</w:t>
      </w:r>
      <w:r>
        <w:rPr>
          <w:rFonts w:hint="eastAsia"/>
        </w:rPr>
        <w:t xml:space="preserve">    </w:t>
      </w:r>
    </w:p>
    <w:p w14:paraId="7868D58E" w14:textId="77777777" w:rsidR="00761CD8" w:rsidRDefault="00761CD8" w:rsidP="00D47140">
      <w:pPr>
        <w:pStyle w:val="AD"/>
        <w:spacing w:line="276" w:lineRule="auto"/>
      </w:pPr>
    </w:p>
    <w:p w14:paraId="68D598AD" w14:textId="77777777" w:rsidR="00761CD8" w:rsidRDefault="00761CD8" w:rsidP="00D47140">
      <w:pPr>
        <w:pStyle w:val="AD"/>
        <w:spacing w:line="276" w:lineRule="auto"/>
      </w:pPr>
      <w:r>
        <w:rPr>
          <w:rFonts w:hint="eastAsia"/>
        </w:rPr>
        <w:t>八、保险机构投资基础设施基金前，应当对基础设施基金持有项目的经营管理、财务、现金流、法律权属等情况进行分析评估，形成分析评估报告。</w:t>
      </w:r>
    </w:p>
    <w:p w14:paraId="654F1ADC" w14:textId="77777777" w:rsidR="00761CD8" w:rsidRDefault="00761CD8" w:rsidP="00D47140">
      <w:pPr>
        <w:pStyle w:val="AD"/>
        <w:spacing w:line="276" w:lineRule="auto"/>
      </w:pPr>
    </w:p>
    <w:p w14:paraId="26C646FC" w14:textId="77777777" w:rsidR="00761CD8" w:rsidRDefault="00761CD8" w:rsidP="00D47140">
      <w:pPr>
        <w:pStyle w:val="AD"/>
        <w:spacing w:line="276" w:lineRule="auto"/>
      </w:pPr>
      <w:r>
        <w:rPr>
          <w:rFonts w:hint="eastAsia"/>
        </w:rPr>
        <w:t>九、保险机构应当加强投资基础设施基金的风险管理，按照上市权益类资产投资管理要求，建立健全内部控制制度和风险管理制度，防范内幕交易、利用未公开信息交易、利益冲突和利益输送。</w:t>
      </w:r>
      <w:r>
        <w:rPr>
          <w:rFonts w:hint="eastAsia"/>
        </w:rPr>
        <w:t xml:space="preserve">    </w:t>
      </w:r>
    </w:p>
    <w:p w14:paraId="1F9DFBF4" w14:textId="77777777" w:rsidR="00761CD8" w:rsidRDefault="00761CD8" w:rsidP="00D47140">
      <w:pPr>
        <w:pStyle w:val="AD"/>
        <w:spacing w:line="276" w:lineRule="auto"/>
      </w:pPr>
    </w:p>
    <w:p w14:paraId="0AD78148" w14:textId="77777777" w:rsidR="00761CD8" w:rsidRDefault="00761CD8" w:rsidP="00D47140">
      <w:pPr>
        <w:pStyle w:val="AD"/>
        <w:spacing w:line="276" w:lineRule="auto"/>
      </w:pPr>
      <w:r>
        <w:rPr>
          <w:rFonts w:hint="eastAsia"/>
        </w:rPr>
        <w:t>十、保险机构应当审慎评估投资基础设施基金可能出现的重大风险，制定相应风险处置预案。基金净资产发生</w:t>
      </w:r>
      <w:r>
        <w:rPr>
          <w:rFonts w:hint="eastAsia"/>
        </w:rPr>
        <w:t>10%</w:t>
      </w:r>
      <w:r>
        <w:rPr>
          <w:rFonts w:hint="eastAsia"/>
        </w:rPr>
        <w:t>及以上损失，基础设施项目运营、项目现金流或产生现金流能力发生重大变化的，保险机构应当及时向银保监会报告。</w:t>
      </w:r>
    </w:p>
    <w:p w14:paraId="08875F22" w14:textId="77777777" w:rsidR="00761CD8" w:rsidRDefault="00761CD8" w:rsidP="00D47140">
      <w:pPr>
        <w:pStyle w:val="AD"/>
        <w:spacing w:line="276" w:lineRule="auto"/>
      </w:pPr>
    </w:p>
    <w:p w14:paraId="4C5942C3" w14:textId="77777777" w:rsidR="00761CD8" w:rsidRDefault="00761CD8" w:rsidP="00D47140">
      <w:pPr>
        <w:pStyle w:val="AD"/>
        <w:spacing w:line="276" w:lineRule="auto"/>
      </w:pPr>
      <w:r>
        <w:rPr>
          <w:rFonts w:hint="eastAsia"/>
        </w:rPr>
        <w:t>十一、保险集团（控股）公司和保险公司应当将保险资金投资基础设施基金情况纳入季度资金运用情况报告，保险资产管理公司应当将组合类保险资产管理产品投资基础设施基金情况纳入年度产品业务管理报告，报告内容包括相关投资情况、项目运营情况、风险管理情况等。</w:t>
      </w:r>
    </w:p>
    <w:p w14:paraId="17632183" w14:textId="77777777" w:rsidR="00761CD8" w:rsidRDefault="00761CD8" w:rsidP="00D47140">
      <w:pPr>
        <w:pStyle w:val="AD"/>
        <w:spacing w:line="276" w:lineRule="auto"/>
      </w:pPr>
    </w:p>
    <w:p w14:paraId="51095CEE" w14:textId="77777777" w:rsidR="00761CD8" w:rsidRDefault="00761CD8" w:rsidP="00D47140">
      <w:pPr>
        <w:pStyle w:val="AD"/>
        <w:spacing w:line="276" w:lineRule="auto"/>
      </w:pPr>
      <w:r>
        <w:rPr>
          <w:rFonts w:hint="eastAsia"/>
        </w:rPr>
        <w:t>十二、保险机构违反本通知规定投资基础设施基金的，银保监会将责令限期改正，并依法采取监管措施或实施行政处罚。</w:t>
      </w:r>
    </w:p>
    <w:p w14:paraId="2CB4E1D3" w14:textId="3763C12B" w:rsidR="00761CD8" w:rsidRDefault="00761CD8" w:rsidP="00D47140">
      <w:pPr>
        <w:pStyle w:val="AD"/>
        <w:spacing w:line="276" w:lineRule="auto"/>
      </w:pPr>
    </w:p>
    <w:p w14:paraId="324823F6" w14:textId="77777777" w:rsidR="00761CD8" w:rsidRDefault="00761CD8" w:rsidP="00D47140">
      <w:pPr>
        <w:pStyle w:val="AD"/>
        <w:spacing w:line="276" w:lineRule="auto"/>
      </w:pPr>
    </w:p>
    <w:p w14:paraId="361C40B0" w14:textId="0E3A3A97" w:rsidR="00761CD8" w:rsidRDefault="00761CD8" w:rsidP="00D47140">
      <w:pPr>
        <w:pStyle w:val="AD"/>
        <w:spacing w:line="276" w:lineRule="auto"/>
        <w:jc w:val="right"/>
      </w:pPr>
      <w:r>
        <w:rPr>
          <w:rFonts w:hint="eastAsia"/>
        </w:rPr>
        <w:t>中国银保监会办公厅</w:t>
      </w:r>
    </w:p>
    <w:p w14:paraId="6310FAED" w14:textId="6AE6607C" w:rsidR="00B15193" w:rsidRDefault="00761CD8" w:rsidP="00D47140">
      <w:pPr>
        <w:pStyle w:val="AD"/>
        <w:spacing w:line="276" w:lineRule="auto"/>
        <w:jc w:val="right"/>
      </w:pPr>
      <w:r>
        <w:rPr>
          <w:rFonts w:hint="eastAsia"/>
        </w:rPr>
        <w:t>2021</w:t>
      </w:r>
      <w:r>
        <w:rPr>
          <w:rFonts w:hint="eastAsia"/>
        </w:rPr>
        <w:t>年</w:t>
      </w:r>
      <w:r>
        <w:rPr>
          <w:rFonts w:hint="eastAsia"/>
        </w:rPr>
        <w:t>11</w:t>
      </w:r>
      <w:r>
        <w:rPr>
          <w:rFonts w:hint="eastAsia"/>
        </w:rPr>
        <w:t>月</w:t>
      </w:r>
      <w:r>
        <w:rPr>
          <w:rFonts w:hint="eastAsia"/>
        </w:rPr>
        <w:t>10</w:t>
      </w:r>
      <w:r>
        <w:rPr>
          <w:rFonts w:hint="eastAsia"/>
        </w:rPr>
        <w:t>日</w:t>
      </w:r>
    </w:p>
    <w:p w14:paraId="447739AF" w14:textId="2CECD228" w:rsidR="00761CD8" w:rsidRDefault="00761CD8" w:rsidP="00D47140">
      <w:pPr>
        <w:pStyle w:val="AD"/>
        <w:spacing w:line="276" w:lineRule="auto"/>
      </w:pPr>
    </w:p>
    <w:p w14:paraId="14470B5F" w14:textId="048BEFE4" w:rsidR="00761CD8" w:rsidRDefault="00761CD8" w:rsidP="00D47140">
      <w:pPr>
        <w:pStyle w:val="AD"/>
        <w:spacing w:line="276" w:lineRule="auto"/>
      </w:pPr>
    </w:p>
    <w:p w14:paraId="53A67B92" w14:textId="77777777" w:rsidR="00761CD8" w:rsidRDefault="00761CD8" w:rsidP="00D47140">
      <w:pPr>
        <w:pStyle w:val="AD"/>
        <w:spacing w:line="276" w:lineRule="auto"/>
      </w:pPr>
      <w:r>
        <w:rPr>
          <w:rFonts w:hint="eastAsia"/>
        </w:rPr>
        <w:t>信息来源：</w:t>
      </w:r>
    </w:p>
    <w:p w14:paraId="077EB009" w14:textId="2531E2E1" w:rsidR="00761CD8" w:rsidRDefault="006C354E" w:rsidP="00D47140">
      <w:pPr>
        <w:pStyle w:val="AD"/>
        <w:spacing w:line="276" w:lineRule="auto"/>
      </w:pPr>
      <w:hyperlink r:id="rId6" w:history="1">
        <w:r w:rsidR="006E0E70" w:rsidRPr="008D08BD">
          <w:rPr>
            <w:rStyle w:val="a9"/>
          </w:rPr>
          <w:t>http://www.cbirc.gov.cn/cn/view/pages/ItemDetail.html?docId=1018668&amp;itemId=928</w:t>
        </w:r>
      </w:hyperlink>
    </w:p>
    <w:p w14:paraId="70C84CC1" w14:textId="77777777" w:rsidR="00761CD8" w:rsidRPr="00761CD8" w:rsidRDefault="00761CD8" w:rsidP="00D47140">
      <w:pPr>
        <w:pStyle w:val="AD"/>
        <w:spacing w:line="276" w:lineRule="auto"/>
      </w:pPr>
    </w:p>
    <w:sectPr w:rsidR="00761CD8" w:rsidRPr="00761CD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49C2B" w14:textId="77777777" w:rsidR="006C354E" w:rsidRDefault="006C354E" w:rsidP="00C20A6A">
      <w:pPr>
        <w:spacing w:line="240" w:lineRule="auto"/>
      </w:pPr>
      <w:r>
        <w:separator/>
      </w:r>
    </w:p>
  </w:endnote>
  <w:endnote w:type="continuationSeparator" w:id="0">
    <w:p w14:paraId="0AD44F50" w14:textId="77777777" w:rsidR="006C354E" w:rsidRDefault="006C354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3462" w14:textId="77777777" w:rsidR="006C354E" w:rsidRDefault="006C354E" w:rsidP="00C20A6A">
      <w:pPr>
        <w:spacing w:line="240" w:lineRule="auto"/>
      </w:pPr>
      <w:r>
        <w:separator/>
      </w:r>
    </w:p>
  </w:footnote>
  <w:footnote w:type="continuationSeparator" w:id="0">
    <w:p w14:paraId="11407389" w14:textId="77777777" w:rsidR="006C354E" w:rsidRDefault="006C354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229C"/>
    <w:rsid w:val="000F4C6A"/>
    <w:rsid w:val="0017229C"/>
    <w:rsid w:val="00176A25"/>
    <w:rsid w:val="001C4C6F"/>
    <w:rsid w:val="00280128"/>
    <w:rsid w:val="003D27E2"/>
    <w:rsid w:val="00506168"/>
    <w:rsid w:val="005E5AD6"/>
    <w:rsid w:val="005F7C76"/>
    <w:rsid w:val="006C354E"/>
    <w:rsid w:val="006E0E70"/>
    <w:rsid w:val="00761CD8"/>
    <w:rsid w:val="007D7BDB"/>
    <w:rsid w:val="00934D80"/>
    <w:rsid w:val="00990207"/>
    <w:rsid w:val="00A548E7"/>
    <w:rsid w:val="00B15193"/>
    <w:rsid w:val="00B731F1"/>
    <w:rsid w:val="00BF7112"/>
    <w:rsid w:val="00C20A6A"/>
    <w:rsid w:val="00C22624"/>
    <w:rsid w:val="00D02718"/>
    <w:rsid w:val="00D47140"/>
    <w:rsid w:val="00D965D0"/>
    <w:rsid w:val="00EC5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CFE78"/>
  <w15:chartTrackingRefBased/>
  <w15:docId w15:val="{F4A38B42-9309-4AB5-8AC0-58C8C95D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761CD8"/>
    <w:pPr>
      <w:ind w:leftChars="2500" w:left="100"/>
    </w:pPr>
  </w:style>
  <w:style w:type="character" w:customStyle="1" w:styleId="a8">
    <w:name w:val="日期 字符"/>
    <w:basedOn w:val="a0"/>
    <w:link w:val="a7"/>
    <w:uiPriority w:val="99"/>
    <w:semiHidden/>
    <w:rsid w:val="00761CD8"/>
    <w:rPr>
      <w:rFonts w:ascii="Arial" w:eastAsia="宋体" w:hAnsi="Arial"/>
      <w:sz w:val="22"/>
    </w:rPr>
  </w:style>
  <w:style w:type="character" w:styleId="a9">
    <w:name w:val="Hyperlink"/>
    <w:basedOn w:val="a0"/>
    <w:uiPriority w:val="99"/>
    <w:unhideWhenUsed/>
    <w:rsid w:val="00761CD8"/>
    <w:rPr>
      <w:color w:val="0000FF" w:themeColor="hyperlink"/>
      <w:u w:val="single"/>
    </w:rPr>
  </w:style>
  <w:style w:type="character" w:styleId="aa">
    <w:name w:val="Unresolved Mention"/>
    <w:basedOn w:val="a0"/>
    <w:uiPriority w:val="99"/>
    <w:semiHidden/>
    <w:unhideWhenUsed/>
    <w:rsid w:val="00761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1018668&amp;itemId=92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11</cp:revision>
  <dcterms:created xsi:type="dcterms:W3CDTF">2021-11-19T03:03:00Z</dcterms:created>
  <dcterms:modified xsi:type="dcterms:W3CDTF">2021-11-19T03:27:00Z</dcterms:modified>
</cp:coreProperties>
</file>