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A74A" w14:textId="2B0FFC1F" w:rsidR="00A627A6" w:rsidRPr="007324E5" w:rsidRDefault="00A627A6" w:rsidP="007A304A">
      <w:pPr>
        <w:pStyle w:val="AD"/>
        <w:spacing w:line="276" w:lineRule="auto"/>
        <w:jc w:val="center"/>
        <w:rPr>
          <w:rFonts w:hint="eastAsia"/>
          <w:b/>
          <w:bCs/>
          <w:color w:val="E36C0A" w:themeColor="accent6" w:themeShade="BF"/>
          <w:sz w:val="32"/>
          <w:szCs w:val="32"/>
        </w:rPr>
      </w:pPr>
      <w:bookmarkStart w:id="0" w:name="_GoBack"/>
      <w:bookmarkEnd w:id="0"/>
      <w:r w:rsidRPr="007324E5">
        <w:rPr>
          <w:rFonts w:hint="eastAsia"/>
          <w:b/>
          <w:bCs/>
          <w:color w:val="E36C0A" w:themeColor="accent6" w:themeShade="BF"/>
          <w:sz w:val="32"/>
          <w:szCs w:val="32"/>
        </w:rPr>
        <w:t>关于加强超高层建筑规划建设管理的通知</w:t>
      </w:r>
    </w:p>
    <w:p w14:paraId="000FA458" w14:textId="77777777" w:rsidR="00A627A6" w:rsidRDefault="00A627A6" w:rsidP="007A304A">
      <w:pPr>
        <w:pStyle w:val="AD"/>
        <w:spacing w:line="276" w:lineRule="auto"/>
      </w:pPr>
    </w:p>
    <w:p w14:paraId="73206B01" w14:textId="77777777" w:rsidR="00A627A6" w:rsidRDefault="00A627A6" w:rsidP="007A304A">
      <w:pPr>
        <w:pStyle w:val="AD"/>
        <w:spacing w:line="276" w:lineRule="auto"/>
        <w:rPr>
          <w:rFonts w:hint="eastAsia"/>
        </w:rPr>
      </w:pPr>
      <w:r>
        <w:rPr>
          <w:rFonts w:hint="eastAsia"/>
        </w:rPr>
        <w:t>各省、自治区住房和城乡建设厅、应急管理厅，直辖市住房和城乡建设（管）委、规划和自然资源局（委）、应急管理局，海南省自然资源和规划厅，新疆生产建设兵团住房和城乡建设局、应急管理局，各省级消防救援总队：</w:t>
      </w:r>
    </w:p>
    <w:p w14:paraId="3DB5F78E" w14:textId="77777777" w:rsidR="00A627A6" w:rsidRDefault="00A627A6" w:rsidP="007A304A">
      <w:pPr>
        <w:pStyle w:val="AD"/>
        <w:spacing w:line="276" w:lineRule="auto"/>
      </w:pPr>
    </w:p>
    <w:p w14:paraId="08E6E352" w14:textId="77777777" w:rsidR="00A627A6" w:rsidRDefault="00A627A6" w:rsidP="007A304A">
      <w:pPr>
        <w:pStyle w:val="AD"/>
        <w:spacing w:line="276" w:lineRule="auto"/>
        <w:rPr>
          <w:rFonts w:hint="eastAsia"/>
        </w:rPr>
      </w:pPr>
      <w:r>
        <w:rPr>
          <w:rFonts w:hint="eastAsia"/>
        </w:rPr>
        <w:t xml:space="preserve">　　超高层建筑在集约利用土地资源、推动建筑工程技术进步、促进城市经济社会发展等方面发挥积极作用。但近年来，一些城市脱离实际需求，攀比建设超高层建筑，盲目追求建筑高度第一、形式奇特，抬高建设成本，加剧能源消耗，加大安全管理难度。为贯彻落实新发展理念，统筹发展和安全，科学规划建设管理超高层建筑，促进城市高质量发展，现就有关事项通知如下：</w:t>
      </w:r>
    </w:p>
    <w:p w14:paraId="1CAB8760" w14:textId="77777777" w:rsidR="00A627A6" w:rsidRDefault="00A627A6" w:rsidP="007A304A">
      <w:pPr>
        <w:pStyle w:val="AD"/>
        <w:spacing w:line="276" w:lineRule="auto"/>
      </w:pPr>
    </w:p>
    <w:p w14:paraId="7B752565" w14:textId="77777777" w:rsidR="00A627A6" w:rsidRDefault="00A627A6" w:rsidP="007A304A">
      <w:pPr>
        <w:pStyle w:val="AD"/>
        <w:spacing w:line="276" w:lineRule="auto"/>
        <w:rPr>
          <w:rFonts w:hint="eastAsia"/>
        </w:rPr>
      </w:pPr>
      <w:r>
        <w:rPr>
          <w:rFonts w:hint="eastAsia"/>
        </w:rPr>
        <w:t xml:space="preserve">　　一、严格管控新建超高层建筑</w:t>
      </w:r>
    </w:p>
    <w:p w14:paraId="58288462" w14:textId="77777777" w:rsidR="00A627A6" w:rsidRDefault="00A627A6" w:rsidP="007A304A">
      <w:pPr>
        <w:pStyle w:val="AD"/>
        <w:spacing w:line="276" w:lineRule="auto"/>
      </w:pPr>
    </w:p>
    <w:p w14:paraId="256B84A3" w14:textId="77777777" w:rsidR="00A627A6" w:rsidRDefault="00A627A6" w:rsidP="007A304A">
      <w:pPr>
        <w:pStyle w:val="AD"/>
        <w:spacing w:line="276" w:lineRule="auto"/>
        <w:rPr>
          <w:rFonts w:hint="eastAsia"/>
        </w:rPr>
      </w:pPr>
      <w:r>
        <w:rPr>
          <w:rFonts w:hint="eastAsia"/>
        </w:rPr>
        <w:t xml:space="preserve">　　（一）从严控制建筑高度。各地要严格控制新建超高层建筑。一般不得新建超高层住宅。城区常住人口</w:t>
      </w:r>
      <w:r>
        <w:rPr>
          <w:rFonts w:hint="eastAsia"/>
        </w:rPr>
        <w:t>300</w:t>
      </w:r>
      <w:r>
        <w:rPr>
          <w:rFonts w:hint="eastAsia"/>
        </w:rPr>
        <w:t>万人口以下城市严格限制新建</w:t>
      </w:r>
      <w:r>
        <w:rPr>
          <w:rFonts w:hint="eastAsia"/>
        </w:rPr>
        <w:t>150</w:t>
      </w:r>
      <w:r>
        <w:rPr>
          <w:rFonts w:hint="eastAsia"/>
        </w:rPr>
        <w:t>米以上超高层建筑，不得新建</w:t>
      </w:r>
      <w:r>
        <w:rPr>
          <w:rFonts w:hint="eastAsia"/>
        </w:rPr>
        <w:t>250</w:t>
      </w:r>
      <w:r>
        <w:rPr>
          <w:rFonts w:hint="eastAsia"/>
        </w:rPr>
        <w:t>米以上超高层建筑。城区常住人口</w:t>
      </w:r>
      <w:r>
        <w:rPr>
          <w:rFonts w:hint="eastAsia"/>
        </w:rPr>
        <w:t>300</w:t>
      </w:r>
      <w:r>
        <w:rPr>
          <w:rFonts w:hint="eastAsia"/>
        </w:rPr>
        <w:t>万以上城市严格限制新建</w:t>
      </w:r>
      <w:r>
        <w:rPr>
          <w:rFonts w:hint="eastAsia"/>
        </w:rPr>
        <w:t>250</w:t>
      </w:r>
      <w:r>
        <w:rPr>
          <w:rFonts w:hint="eastAsia"/>
        </w:rPr>
        <w:t>米以上超高层建筑，不得新建</w:t>
      </w:r>
      <w:r>
        <w:rPr>
          <w:rFonts w:hint="eastAsia"/>
        </w:rPr>
        <w:t>500</w:t>
      </w:r>
      <w:r>
        <w:rPr>
          <w:rFonts w:hint="eastAsia"/>
        </w:rPr>
        <w:t>米以上超高层建筑。各地相关部门审批</w:t>
      </w:r>
      <w:r>
        <w:rPr>
          <w:rFonts w:hint="eastAsia"/>
        </w:rPr>
        <w:t>80</w:t>
      </w:r>
      <w:r>
        <w:rPr>
          <w:rFonts w:hint="eastAsia"/>
        </w:rPr>
        <w:t>米以上住宅建筑、</w:t>
      </w:r>
      <w:r>
        <w:rPr>
          <w:rFonts w:hint="eastAsia"/>
        </w:rPr>
        <w:t>100</w:t>
      </w:r>
      <w:r>
        <w:rPr>
          <w:rFonts w:hint="eastAsia"/>
        </w:rPr>
        <w:t>米以上公共建筑建设项目时，应征求同级消防救援机构意见，以确保与当地消防救援能力相匹配。城区常住人口</w:t>
      </w:r>
      <w:r>
        <w:rPr>
          <w:rFonts w:hint="eastAsia"/>
        </w:rPr>
        <w:t>300</w:t>
      </w:r>
      <w:r>
        <w:rPr>
          <w:rFonts w:hint="eastAsia"/>
        </w:rPr>
        <w:t>万以下城市确需新建</w:t>
      </w:r>
      <w:r>
        <w:rPr>
          <w:rFonts w:hint="eastAsia"/>
        </w:rPr>
        <w:t>150</w:t>
      </w:r>
      <w:r>
        <w:rPr>
          <w:rFonts w:hint="eastAsia"/>
        </w:rPr>
        <w:t>米以上超高层建筑的，应报省级住房和城乡建设主管部门审查，并报住房和城乡建设部备案。城区常住人口</w:t>
      </w:r>
      <w:r>
        <w:rPr>
          <w:rFonts w:hint="eastAsia"/>
        </w:rPr>
        <w:t>300</w:t>
      </w:r>
      <w:r>
        <w:rPr>
          <w:rFonts w:hint="eastAsia"/>
        </w:rPr>
        <w:t>万以上城市确需新建</w:t>
      </w:r>
      <w:r>
        <w:rPr>
          <w:rFonts w:hint="eastAsia"/>
        </w:rPr>
        <w:t>250</w:t>
      </w:r>
      <w:r>
        <w:rPr>
          <w:rFonts w:hint="eastAsia"/>
        </w:rPr>
        <w:t>米以上超高层建筑的，省级住房和城乡建设主管部门应结合抗震、消防等专题严格论证审查，并报住房和城乡建设部备案复核。</w:t>
      </w:r>
    </w:p>
    <w:p w14:paraId="28CC1D4F" w14:textId="77777777" w:rsidR="00A627A6" w:rsidRDefault="00A627A6" w:rsidP="007A304A">
      <w:pPr>
        <w:pStyle w:val="AD"/>
        <w:spacing w:line="276" w:lineRule="auto"/>
      </w:pPr>
    </w:p>
    <w:p w14:paraId="398D2D1A" w14:textId="77777777" w:rsidR="00A627A6" w:rsidRDefault="00A627A6" w:rsidP="007A304A">
      <w:pPr>
        <w:pStyle w:val="AD"/>
        <w:spacing w:line="276" w:lineRule="auto"/>
        <w:rPr>
          <w:rFonts w:hint="eastAsia"/>
        </w:rPr>
      </w:pPr>
      <w:r>
        <w:rPr>
          <w:rFonts w:hint="eastAsia"/>
        </w:rPr>
        <w:t xml:space="preserve">　　（二）合理确定建筑布局。各地要结合城市空间格局、功能布局，统筹谋划高层和超高层建筑建设，相对集中布局。严格控制生态敏感、自然景观等重点地段的高层建筑建设，不在对历史文化街区、历史地段、世界文化遗产及重要文物保护单位有影响的地方新建高层建筑，不在山边水边以及老城旧城开发强度较高、人口密集、交通拥堵地段新建超高层建筑，不在城市通风廊道上新建超高层建筑群。</w:t>
      </w:r>
    </w:p>
    <w:p w14:paraId="78080A45" w14:textId="77777777" w:rsidR="00A627A6" w:rsidRDefault="00A627A6" w:rsidP="007A304A">
      <w:pPr>
        <w:pStyle w:val="AD"/>
        <w:spacing w:line="276" w:lineRule="auto"/>
      </w:pPr>
    </w:p>
    <w:p w14:paraId="677EF260" w14:textId="77777777" w:rsidR="00A627A6" w:rsidRDefault="00A627A6" w:rsidP="007A304A">
      <w:pPr>
        <w:pStyle w:val="AD"/>
        <w:spacing w:line="276" w:lineRule="auto"/>
        <w:rPr>
          <w:rFonts w:hint="eastAsia"/>
        </w:rPr>
      </w:pPr>
      <w:r>
        <w:rPr>
          <w:rFonts w:hint="eastAsia"/>
        </w:rPr>
        <w:t xml:space="preserve">　　（三）深化细化评估论证。各地要充分评估论证超高层建筑建设风险问题和负面影响。尤其是超高层建筑集中的地区，要加强超高层建筑建设项目交通影响评价，避免加剧交通拥堵；加强超高层建筑建设项目环境影响评价，防止加剧城市热岛效应，避免形成光污染、高楼峡谷风。强化超高层建筑人员疏散和应急处置预案评估。超高层建筑防灾避难场地应集中就近布置，人均面积不低于</w:t>
      </w:r>
      <w:r>
        <w:rPr>
          <w:rFonts w:hint="eastAsia"/>
        </w:rPr>
        <w:t>1.5</w:t>
      </w:r>
      <w:r>
        <w:rPr>
          <w:rFonts w:hint="eastAsia"/>
        </w:rPr>
        <w:t>平方米。加强超高层建筑节能管理，标准层平面利用率一般不低于</w:t>
      </w:r>
      <w:r>
        <w:rPr>
          <w:rFonts w:hint="eastAsia"/>
        </w:rPr>
        <w:t>80%</w:t>
      </w:r>
      <w:r>
        <w:rPr>
          <w:rFonts w:hint="eastAsia"/>
        </w:rPr>
        <w:t>，绿色建筑水平不得低于三星级标准。</w:t>
      </w:r>
    </w:p>
    <w:p w14:paraId="0C2529B7" w14:textId="77777777" w:rsidR="00A627A6" w:rsidRDefault="00A627A6" w:rsidP="007A304A">
      <w:pPr>
        <w:pStyle w:val="AD"/>
        <w:spacing w:line="276" w:lineRule="auto"/>
      </w:pPr>
    </w:p>
    <w:p w14:paraId="08BE06FC" w14:textId="77777777" w:rsidR="00A627A6" w:rsidRDefault="00A627A6" w:rsidP="007A304A">
      <w:pPr>
        <w:pStyle w:val="AD"/>
        <w:spacing w:line="276" w:lineRule="auto"/>
        <w:rPr>
          <w:rFonts w:hint="eastAsia"/>
        </w:rPr>
      </w:pPr>
      <w:r>
        <w:rPr>
          <w:rFonts w:hint="eastAsia"/>
        </w:rPr>
        <w:t xml:space="preserve">　　（四）强化公共投资管理。各地应严格落实政府投资有关规定，一般不得批准使用公共资金投资建设超高层建筑，严格控制城区常住人口</w:t>
      </w:r>
      <w:r>
        <w:rPr>
          <w:rFonts w:hint="eastAsia"/>
        </w:rPr>
        <w:t>300</w:t>
      </w:r>
      <w:r>
        <w:rPr>
          <w:rFonts w:hint="eastAsia"/>
        </w:rPr>
        <w:t>万以下城市国有企事业单位投资建设</w:t>
      </w:r>
      <w:r>
        <w:rPr>
          <w:rFonts w:hint="eastAsia"/>
        </w:rPr>
        <w:t>150</w:t>
      </w:r>
      <w:r>
        <w:rPr>
          <w:rFonts w:hint="eastAsia"/>
        </w:rPr>
        <w:t>米以上超高层建筑，严格控制城区常住人口</w:t>
      </w:r>
      <w:r>
        <w:rPr>
          <w:rFonts w:hint="eastAsia"/>
        </w:rPr>
        <w:t>300</w:t>
      </w:r>
      <w:r>
        <w:rPr>
          <w:rFonts w:hint="eastAsia"/>
        </w:rPr>
        <w:t>万以上城市国有企事业单位投资建设</w:t>
      </w:r>
      <w:r>
        <w:rPr>
          <w:rFonts w:hint="eastAsia"/>
        </w:rPr>
        <w:t>250</w:t>
      </w:r>
      <w:r>
        <w:rPr>
          <w:rFonts w:hint="eastAsia"/>
        </w:rPr>
        <w:t>米以</w:t>
      </w:r>
      <w:r>
        <w:rPr>
          <w:rFonts w:hint="eastAsia"/>
        </w:rPr>
        <w:lastRenderedPageBreak/>
        <w:t>上超高层建筑。</w:t>
      </w:r>
    </w:p>
    <w:p w14:paraId="7D1E992E" w14:textId="77777777" w:rsidR="00A627A6" w:rsidRDefault="00A627A6" w:rsidP="007A304A">
      <w:pPr>
        <w:pStyle w:val="AD"/>
        <w:spacing w:line="276" w:lineRule="auto"/>
      </w:pPr>
    </w:p>
    <w:p w14:paraId="19E77D4A" w14:textId="77777777" w:rsidR="00A627A6" w:rsidRDefault="00A627A6" w:rsidP="007A304A">
      <w:pPr>
        <w:pStyle w:val="AD"/>
        <w:spacing w:line="276" w:lineRule="auto"/>
        <w:rPr>
          <w:rFonts w:hint="eastAsia"/>
        </w:rPr>
      </w:pPr>
      <w:r>
        <w:rPr>
          <w:rFonts w:hint="eastAsia"/>
        </w:rPr>
        <w:t xml:space="preserve">　　（五）压紧夯实决策责任。实行超高层建筑决策责任终身制。城区常住人口</w:t>
      </w:r>
      <w:r>
        <w:rPr>
          <w:rFonts w:hint="eastAsia"/>
        </w:rPr>
        <w:t>300</w:t>
      </w:r>
      <w:r>
        <w:rPr>
          <w:rFonts w:hint="eastAsia"/>
        </w:rPr>
        <w:t>万以下城市新建</w:t>
      </w:r>
      <w:r>
        <w:rPr>
          <w:rFonts w:hint="eastAsia"/>
        </w:rPr>
        <w:t>150</w:t>
      </w:r>
      <w:r>
        <w:rPr>
          <w:rFonts w:hint="eastAsia"/>
        </w:rPr>
        <w:t>米以上超高层建筑，城区常住人口</w:t>
      </w:r>
      <w:r>
        <w:rPr>
          <w:rFonts w:hint="eastAsia"/>
        </w:rPr>
        <w:t>300</w:t>
      </w:r>
      <w:r>
        <w:rPr>
          <w:rFonts w:hint="eastAsia"/>
        </w:rPr>
        <w:t>万以上城市新建</w:t>
      </w:r>
      <w:r>
        <w:rPr>
          <w:rFonts w:hint="eastAsia"/>
        </w:rPr>
        <w:t>250</w:t>
      </w:r>
      <w:r>
        <w:rPr>
          <w:rFonts w:hint="eastAsia"/>
        </w:rPr>
        <w:t>米以上超高层建筑，应按照《重大行政决策程序暂行条例》（国务院令第</w:t>
      </w:r>
      <w:r>
        <w:rPr>
          <w:rFonts w:hint="eastAsia"/>
        </w:rPr>
        <w:t>713</w:t>
      </w:r>
      <w:r>
        <w:rPr>
          <w:rFonts w:hint="eastAsia"/>
        </w:rPr>
        <w:t>号），作为重大公共建设项目报城市党委政府审定，实行责任终身追究。</w:t>
      </w:r>
    </w:p>
    <w:p w14:paraId="60BE31DC" w14:textId="77777777" w:rsidR="00A627A6" w:rsidRDefault="00A627A6" w:rsidP="007A304A">
      <w:pPr>
        <w:pStyle w:val="AD"/>
        <w:spacing w:line="276" w:lineRule="auto"/>
      </w:pPr>
    </w:p>
    <w:p w14:paraId="7B8BA4AD" w14:textId="77777777" w:rsidR="00A627A6" w:rsidRDefault="00A627A6" w:rsidP="007A304A">
      <w:pPr>
        <w:pStyle w:val="AD"/>
        <w:spacing w:line="276" w:lineRule="auto"/>
        <w:rPr>
          <w:rFonts w:hint="eastAsia"/>
        </w:rPr>
      </w:pPr>
      <w:r>
        <w:rPr>
          <w:rFonts w:hint="eastAsia"/>
        </w:rPr>
        <w:t xml:space="preserve">　　二、强化既有超高层建筑安全管理</w:t>
      </w:r>
    </w:p>
    <w:p w14:paraId="3739864C" w14:textId="77777777" w:rsidR="00A627A6" w:rsidRDefault="00A627A6" w:rsidP="007A304A">
      <w:pPr>
        <w:pStyle w:val="AD"/>
        <w:spacing w:line="276" w:lineRule="auto"/>
      </w:pPr>
    </w:p>
    <w:p w14:paraId="34E1D86B" w14:textId="77777777" w:rsidR="00A627A6" w:rsidRDefault="00A627A6" w:rsidP="007A304A">
      <w:pPr>
        <w:pStyle w:val="AD"/>
        <w:spacing w:line="276" w:lineRule="auto"/>
        <w:rPr>
          <w:rFonts w:hint="eastAsia"/>
        </w:rPr>
      </w:pPr>
      <w:r>
        <w:rPr>
          <w:rFonts w:hint="eastAsia"/>
        </w:rPr>
        <w:t xml:space="preserve">　　（六）全面排查安全隐患。各地要结合安全生产专项整治三年行动，加强对超高层建筑隐患排查的指导监督，摸清超高层建筑基本情况，建立隐患排查信息系统。组织指导超高层建筑业主或其委托的管理单位全面排查超高层建筑地基、结构、供电、供水、供气、材料、电梯、抗震、消防等方面安全隐患，分析易燃可燃建筑外墙外保温材料、电动自行车进楼入户、外墙脱落、传染病防疫、消防救援等方面安全风险，并建立台账。</w:t>
      </w:r>
    </w:p>
    <w:p w14:paraId="57384D4C" w14:textId="77777777" w:rsidR="00A627A6" w:rsidRDefault="00A627A6" w:rsidP="007A304A">
      <w:pPr>
        <w:pStyle w:val="AD"/>
        <w:spacing w:line="276" w:lineRule="auto"/>
      </w:pPr>
    </w:p>
    <w:p w14:paraId="25FA40F1" w14:textId="77777777" w:rsidR="00A627A6" w:rsidRDefault="00A627A6" w:rsidP="007A304A">
      <w:pPr>
        <w:pStyle w:val="AD"/>
        <w:spacing w:line="276" w:lineRule="auto"/>
        <w:rPr>
          <w:rFonts w:hint="eastAsia"/>
        </w:rPr>
      </w:pPr>
      <w:r>
        <w:rPr>
          <w:rFonts w:hint="eastAsia"/>
        </w:rPr>
        <w:t xml:space="preserve">　　（七）系统推进隐患整治。各地要加强对超高层建筑隐患整治的监管，对重大安全隐患实行挂牌督办。超高层建筑业主或其委托的管理单位要制定隐患整治路线图、时间表，落实责任单位和责任人。重大安全隐患整治到位前，超高层建筑不得继续使用。超高层建筑业主或其委托的管理单位应组建消防安全专业管理团队，鼓励聘用符合相关规定的专业技术人员担任消防安全管理人，补齐应急救援设施设备，制定人员疏散和应急处置预案、分类分级风险防控方案，组织开展预案演练，提高预防和自救能力。</w:t>
      </w:r>
    </w:p>
    <w:p w14:paraId="0C9A1959" w14:textId="77777777" w:rsidR="00A627A6" w:rsidRDefault="00A627A6" w:rsidP="007A304A">
      <w:pPr>
        <w:pStyle w:val="AD"/>
        <w:spacing w:line="276" w:lineRule="auto"/>
      </w:pPr>
    </w:p>
    <w:p w14:paraId="0ECB1CDD" w14:textId="77777777" w:rsidR="00A627A6" w:rsidRDefault="00A627A6" w:rsidP="007A304A">
      <w:pPr>
        <w:pStyle w:val="AD"/>
        <w:spacing w:line="276" w:lineRule="auto"/>
        <w:rPr>
          <w:rFonts w:hint="eastAsia"/>
        </w:rPr>
      </w:pPr>
      <w:r>
        <w:rPr>
          <w:rFonts w:hint="eastAsia"/>
        </w:rPr>
        <w:t xml:space="preserve">　　（八）提升安全保障能力。各地要加强与超高层建筑消防救援需求相匹配的消防救援能力建设，</w:t>
      </w:r>
      <w:proofErr w:type="gramStart"/>
      <w:r>
        <w:rPr>
          <w:rFonts w:hint="eastAsia"/>
        </w:rPr>
        <w:t>属地消防救援</w:t>
      </w:r>
      <w:proofErr w:type="gramEnd"/>
      <w:r>
        <w:rPr>
          <w:rFonts w:hint="eastAsia"/>
        </w:rPr>
        <w:t>机构要加强对超高层建筑的调研熟悉，定期组织实战演练。指导超高层建筑业主或其委托的管理单位逐栋按标准要求补建微型消防站，组织物业服务人员、保安人员、使用单位人员、志愿者等力量，建立专职消防队、志愿消防队等消防组织。超高层建筑业主或其委托的管理单位应完善供电供水、电梯运维、</w:t>
      </w:r>
      <w:proofErr w:type="gramStart"/>
      <w:r>
        <w:rPr>
          <w:rFonts w:hint="eastAsia"/>
        </w:rPr>
        <w:t>消防维保等</w:t>
      </w:r>
      <w:proofErr w:type="gramEnd"/>
      <w:r>
        <w:rPr>
          <w:rFonts w:hint="eastAsia"/>
        </w:rPr>
        <w:t>人员的协同工作机制，组建技术处置队，强化与辖区消防救援站的联勤联训联动，提高协同处置效能。</w:t>
      </w:r>
    </w:p>
    <w:p w14:paraId="211F003C" w14:textId="77777777" w:rsidR="00A627A6" w:rsidRDefault="00A627A6" w:rsidP="007A304A">
      <w:pPr>
        <w:pStyle w:val="AD"/>
        <w:spacing w:line="276" w:lineRule="auto"/>
      </w:pPr>
    </w:p>
    <w:p w14:paraId="3D58CF3F" w14:textId="77777777" w:rsidR="00A627A6" w:rsidRDefault="00A627A6" w:rsidP="007A304A">
      <w:pPr>
        <w:pStyle w:val="AD"/>
        <w:spacing w:line="276" w:lineRule="auto"/>
        <w:rPr>
          <w:rFonts w:hint="eastAsia"/>
        </w:rPr>
      </w:pPr>
      <w:r>
        <w:rPr>
          <w:rFonts w:hint="eastAsia"/>
        </w:rPr>
        <w:t xml:space="preserve">　　（九）完善运行管理机制。各地要建立健全超高层建筑运行维护管理机制，切实提高监管能力。开展超高层建筑运行维护能耗监测，定期组织能耗监测分析，结果及时公开。指导超高层建筑业主或其委托的管理单位建立超高层建筑运行维护平台，</w:t>
      </w:r>
      <w:proofErr w:type="gramStart"/>
      <w:r>
        <w:rPr>
          <w:rFonts w:hint="eastAsia"/>
        </w:rPr>
        <w:t>接入物</w:t>
      </w:r>
      <w:proofErr w:type="gramEnd"/>
      <w:r>
        <w:rPr>
          <w:rFonts w:hint="eastAsia"/>
        </w:rPr>
        <w:t>联网城市消防远程监控系统，并与城市运行管理服务平台连通。具备条件的，超高层建筑业主或其委托的管理单位应充分利用超高层建筑信息模型（</w:t>
      </w:r>
      <w:r>
        <w:rPr>
          <w:rFonts w:hint="eastAsia"/>
        </w:rPr>
        <w:t>BIM</w:t>
      </w:r>
      <w:r>
        <w:rPr>
          <w:rFonts w:hint="eastAsia"/>
        </w:rPr>
        <w:t>），完善运行维护平台，与城市信息模型（</w:t>
      </w:r>
      <w:r>
        <w:rPr>
          <w:rFonts w:hint="eastAsia"/>
        </w:rPr>
        <w:t>CIM</w:t>
      </w:r>
      <w:r>
        <w:rPr>
          <w:rFonts w:hint="eastAsia"/>
        </w:rPr>
        <w:t>）基础平台加强对接。超高层建筑业主或其委托的管理单位应结合超高层建筑设计使用年限，制定超高层建筑运行维护检查方案，委托专业机构定期检测评估超高层建筑设施设备状况，对发现的问题及时修缮维护。</w:t>
      </w:r>
    </w:p>
    <w:p w14:paraId="13136860" w14:textId="77777777" w:rsidR="00A627A6" w:rsidRDefault="00A627A6" w:rsidP="007A304A">
      <w:pPr>
        <w:pStyle w:val="AD"/>
        <w:spacing w:line="276" w:lineRule="auto"/>
      </w:pPr>
    </w:p>
    <w:p w14:paraId="6A97DF19" w14:textId="77777777" w:rsidR="00A627A6" w:rsidRDefault="00A627A6" w:rsidP="007A304A">
      <w:pPr>
        <w:pStyle w:val="AD"/>
        <w:spacing w:line="276" w:lineRule="auto"/>
        <w:rPr>
          <w:rFonts w:hint="eastAsia"/>
        </w:rPr>
      </w:pPr>
      <w:r>
        <w:rPr>
          <w:rFonts w:hint="eastAsia"/>
        </w:rPr>
        <w:t xml:space="preserve">　　各地要抓紧完善超高层建筑规划建设管理协作机制，严格落实相关标准和管控要求，探索</w:t>
      </w:r>
      <w:r>
        <w:rPr>
          <w:rFonts w:hint="eastAsia"/>
        </w:rPr>
        <w:lastRenderedPageBreak/>
        <w:t>建立超高层建筑安全险。建立专家库，定期开展既有超高层建筑使用和管理情况专项排查，有关情况要及时报告住房和城乡建设部。住房和城乡建设部将定期调研评估工作落实情况。</w:t>
      </w:r>
    </w:p>
    <w:p w14:paraId="5F56B313" w14:textId="77777777" w:rsidR="00A627A6" w:rsidRDefault="00A627A6" w:rsidP="007A304A">
      <w:pPr>
        <w:pStyle w:val="AD"/>
        <w:spacing w:line="276" w:lineRule="auto"/>
      </w:pPr>
    </w:p>
    <w:p w14:paraId="1C20B672" w14:textId="77777777" w:rsidR="00A627A6" w:rsidRDefault="00A627A6" w:rsidP="007A304A">
      <w:pPr>
        <w:pStyle w:val="AD"/>
        <w:spacing w:line="276" w:lineRule="auto"/>
      </w:pPr>
      <w:r>
        <w:t xml:space="preserve"> </w:t>
      </w:r>
    </w:p>
    <w:p w14:paraId="2E040563" w14:textId="77777777" w:rsidR="00A627A6" w:rsidRDefault="00A627A6" w:rsidP="007A304A">
      <w:pPr>
        <w:pStyle w:val="AD"/>
        <w:spacing w:line="276" w:lineRule="auto"/>
      </w:pPr>
    </w:p>
    <w:p w14:paraId="6B4F75DD" w14:textId="4E9FD402" w:rsidR="00A627A6" w:rsidRDefault="00A627A6" w:rsidP="007A304A">
      <w:pPr>
        <w:pStyle w:val="AD"/>
        <w:spacing w:line="276" w:lineRule="auto"/>
        <w:jc w:val="right"/>
        <w:rPr>
          <w:rFonts w:hint="eastAsia"/>
        </w:rPr>
      </w:pPr>
      <w:r>
        <w:rPr>
          <w:rFonts w:hint="eastAsia"/>
        </w:rPr>
        <w:t>住房和城乡建设部</w:t>
      </w:r>
    </w:p>
    <w:p w14:paraId="62698363" w14:textId="64952B76" w:rsidR="00A627A6" w:rsidRDefault="00A627A6" w:rsidP="007A304A">
      <w:pPr>
        <w:pStyle w:val="AD"/>
        <w:spacing w:line="276" w:lineRule="auto"/>
        <w:jc w:val="right"/>
        <w:rPr>
          <w:rFonts w:hint="eastAsia"/>
        </w:rPr>
      </w:pPr>
      <w:r>
        <w:rPr>
          <w:rFonts w:hint="eastAsia"/>
        </w:rPr>
        <w:t>应急管理部</w:t>
      </w:r>
    </w:p>
    <w:p w14:paraId="718A2B2F" w14:textId="49B14CCC" w:rsidR="00B15193" w:rsidRDefault="00A627A6" w:rsidP="007A304A">
      <w:pPr>
        <w:pStyle w:val="AD"/>
        <w:spacing w:line="276" w:lineRule="auto"/>
        <w:jc w:val="right"/>
      </w:pPr>
      <w:r>
        <w:rPr>
          <w:rFonts w:hint="eastAsia"/>
        </w:rPr>
        <w:t>2021</w:t>
      </w:r>
      <w:r>
        <w:rPr>
          <w:rFonts w:hint="eastAsia"/>
        </w:rPr>
        <w:t>年</w:t>
      </w:r>
      <w:r>
        <w:rPr>
          <w:rFonts w:hint="eastAsia"/>
        </w:rPr>
        <w:t>10</w:t>
      </w:r>
      <w:r>
        <w:rPr>
          <w:rFonts w:hint="eastAsia"/>
        </w:rPr>
        <w:t>月</w:t>
      </w:r>
      <w:r>
        <w:rPr>
          <w:rFonts w:hint="eastAsia"/>
        </w:rPr>
        <w:t>22</w:t>
      </w:r>
      <w:r>
        <w:rPr>
          <w:rFonts w:hint="eastAsia"/>
        </w:rPr>
        <w:t>日</w:t>
      </w:r>
    </w:p>
    <w:p w14:paraId="283F5374" w14:textId="207145AF" w:rsidR="00A627A6" w:rsidRDefault="00A627A6" w:rsidP="007A304A">
      <w:pPr>
        <w:pStyle w:val="AD"/>
        <w:spacing w:line="276" w:lineRule="auto"/>
      </w:pPr>
    </w:p>
    <w:p w14:paraId="348B1B6C" w14:textId="57A7D7B3" w:rsidR="00A627A6" w:rsidRDefault="00A627A6" w:rsidP="007A304A">
      <w:pPr>
        <w:pStyle w:val="AD"/>
        <w:spacing w:line="276" w:lineRule="auto"/>
      </w:pPr>
    </w:p>
    <w:p w14:paraId="5D0AC338" w14:textId="166393F3" w:rsidR="00A627A6" w:rsidRDefault="00A627A6" w:rsidP="007A304A">
      <w:pPr>
        <w:pStyle w:val="AD"/>
        <w:spacing w:line="276" w:lineRule="auto"/>
      </w:pPr>
      <w:r>
        <w:rPr>
          <w:rFonts w:hint="eastAsia"/>
        </w:rPr>
        <w:t>信息来源：</w:t>
      </w:r>
      <w:hyperlink r:id="rId6" w:history="1">
        <w:r w:rsidRPr="009C5AF6">
          <w:rPr>
            <w:rStyle w:val="a9"/>
          </w:rPr>
          <w:t>http://www.mohurd.gov.cn/wjfb/202110/t20211026_252054.html</w:t>
        </w:r>
      </w:hyperlink>
    </w:p>
    <w:p w14:paraId="15820F99" w14:textId="77777777" w:rsidR="00A627A6" w:rsidRPr="00A627A6" w:rsidRDefault="00A627A6" w:rsidP="007A304A">
      <w:pPr>
        <w:pStyle w:val="AD"/>
        <w:spacing w:line="276" w:lineRule="auto"/>
        <w:rPr>
          <w:rFonts w:hint="eastAsia"/>
        </w:rPr>
      </w:pPr>
    </w:p>
    <w:sectPr w:rsidR="00A627A6" w:rsidRPr="00A627A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DFDB" w14:textId="77777777" w:rsidR="003D5ED1" w:rsidRDefault="003D5ED1" w:rsidP="00C20A6A">
      <w:pPr>
        <w:spacing w:line="240" w:lineRule="auto"/>
      </w:pPr>
      <w:r>
        <w:separator/>
      </w:r>
    </w:p>
  </w:endnote>
  <w:endnote w:type="continuationSeparator" w:id="0">
    <w:p w14:paraId="40F58263" w14:textId="77777777" w:rsidR="003D5ED1" w:rsidRDefault="003D5ED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A699" w14:textId="77777777" w:rsidR="003D5ED1" w:rsidRDefault="003D5ED1" w:rsidP="00C20A6A">
      <w:pPr>
        <w:spacing w:line="240" w:lineRule="auto"/>
      </w:pPr>
      <w:r>
        <w:separator/>
      </w:r>
    </w:p>
  </w:footnote>
  <w:footnote w:type="continuationSeparator" w:id="0">
    <w:p w14:paraId="296111DF" w14:textId="77777777" w:rsidR="003D5ED1" w:rsidRDefault="003D5ED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238B"/>
    <w:rsid w:val="000F4C6A"/>
    <w:rsid w:val="00176A25"/>
    <w:rsid w:val="001C4C6F"/>
    <w:rsid w:val="003D27E2"/>
    <w:rsid w:val="003D5ED1"/>
    <w:rsid w:val="005F7C76"/>
    <w:rsid w:val="007324E5"/>
    <w:rsid w:val="007A304A"/>
    <w:rsid w:val="007D7BDB"/>
    <w:rsid w:val="00A548E7"/>
    <w:rsid w:val="00A627A6"/>
    <w:rsid w:val="00B15193"/>
    <w:rsid w:val="00B731F1"/>
    <w:rsid w:val="00C20A6A"/>
    <w:rsid w:val="00C22624"/>
    <w:rsid w:val="00D02718"/>
    <w:rsid w:val="00EA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F204"/>
  <w15:chartTrackingRefBased/>
  <w15:docId w15:val="{B01336D6-5BC4-456A-8350-6AA3E192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627A6"/>
    <w:pPr>
      <w:ind w:leftChars="2500" w:left="100"/>
    </w:pPr>
  </w:style>
  <w:style w:type="character" w:customStyle="1" w:styleId="a8">
    <w:name w:val="日期 字符"/>
    <w:basedOn w:val="a0"/>
    <w:link w:val="a7"/>
    <w:uiPriority w:val="99"/>
    <w:semiHidden/>
    <w:rsid w:val="00A627A6"/>
    <w:rPr>
      <w:rFonts w:ascii="Arial" w:eastAsia="宋体" w:hAnsi="Arial"/>
      <w:sz w:val="22"/>
    </w:rPr>
  </w:style>
  <w:style w:type="character" w:styleId="a9">
    <w:name w:val="Hyperlink"/>
    <w:basedOn w:val="a0"/>
    <w:uiPriority w:val="99"/>
    <w:unhideWhenUsed/>
    <w:rsid w:val="00A627A6"/>
    <w:rPr>
      <w:color w:val="0000FF" w:themeColor="hyperlink"/>
      <w:u w:val="single"/>
    </w:rPr>
  </w:style>
  <w:style w:type="character" w:styleId="aa">
    <w:name w:val="Unresolved Mention"/>
    <w:basedOn w:val="a0"/>
    <w:uiPriority w:val="99"/>
    <w:semiHidden/>
    <w:unhideWhenUsed/>
    <w:rsid w:val="00A62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urd.gov.cn/wjfb/202110/t20211026_25205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2021-10-28T02:28:00Z</dcterms:created>
  <dcterms:modified xsi:type="dcterms:W3CDTF">2021-10-28T02:28:00Z</dcterms:modified>
</cp:coreProperties>
</file>