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3E02" w14:textId="77777777" w:rsidR="008F05D3" w:rsidRPr="008F05D3" w:rsidRDefault="00D33222" w:rsidP="00087DAD">
      <w:pPr>
        <w:pStyle w:val="AD"/>
        <w:spacing w:line="276" w:lineRule="auto"/>
        <w:jc w:val="center"/>
        <w:rPr>
          <w:b/>
          <w:bCs/>
          <w:color w:val="E36C0A" w:themeColor="accent6" w:themeShade="BF"/>
          <w:sz w:val="32"/>
          <w:szCs w:val="32"/>
        </w:rPr>
      </w:pPr>
      <w:r w:rsidRPr="008F05D3">
        <w:rPr>
          <w:rFonts w:hint="eastAsia"/>
          <w:b/>
          <w:bCs/>
          <w:color w:val="E36C0A" w:themeColor="accent6" w:themeShade="BF"/>
          <w:sz w:val="32"/>
          <w:szCs w:val="32"/>
        </w:rPr>
        <w:t>关于实施《医疗器械注册与备案管理办法》《体外诊断试剂注册与备案管理办法》有关事项的通告</w:t>
      </w:r>
    </w:p>
    <w:p w14:paraId="7FBB08CE" w14:textId="4341DB06" w:rsidR="00D33222" w:rsidRDefault="00D33222" w:rsidP="00087DAD">
      <w:pPr>
        <w:pStyle w:val="AD"/>
        <w:spacing w:line="276" w:lineRule="auto"/>
        <w:jc w:val="center"/>
      </w:pPr>
      <w:r>
        <w:rPr>
          <w:rFonts w:hint="eastAsia"/>
        </w:rPr>
        <w:t>（</w:t>
      </w:r>
      <w:r>
        <w:rPr>
          <w:rFonts w:hint="eastAsia"/>
        </w:rPr>
        <w:t>2021</w:t>
      </w:r>
      <w:r>
        <w:rPr>
          <w:rFonts w:hint="eastAsia"/>
        </w:rPr>
        <w:t>年第</w:t>
      </w:r>
      <w:r>
        <w:rPr>
          <w:rFonts w:hint="eastAsia"/>
        </w:rPr>
        <w:t>76</w:t>
      </w:r>
      <w:r>
        <w:rPr>
          <w:rFonts w:hint="eastAsia"/>
        </w:rPr>
        <w:t>号）</w:t>
      </w:r>
    </w:p>
    <w:p w14:paraId="5F34F654" w14:textId="77777777" w:rsidR="00AF2441" w:rsidRDefault="00AF2441" w:rsidP="00087DAD">
      <w:pPr>
        <w:pStyle w:val="AD"/>
        <w:spacing w:line="276" w:lineRule="auto"/>
      </w:pPr>
    </w:p>
    <w:p w14:paraId="54906710" w14:textId="77777777" w:rsidR="00D33222" w:rsidRDefault="00D33222" w:rsidP="00087DAD">
      <w:pPr>
        <w:pStyle w:val="AD"/>
        <w:spacing w:line="276" w:lineRule="auto"/>
      </w:pPr>
      <w:r>
        <w:rPr>
          <w:rFonts w:hint="eastAsia"/>
        </w:rPr>
        <w:t xml:space="preserve">　　《医疗器械注册与备案管理办法》（国家市场监督管理总局令第</w:t>
      </w:r>
      <w:r>
        <w:rPr>
          <w:rFonts w:hint="eastAsia"/>
        </w:rPr>
        <w:t>47</w:t>
      </w:r>
      <w:r>
        <w:rPr>
          <w:rFonts w:hint="eastAsia"/>
        </w:rPr>
        <w:t>号）和《体外诊断试剂注册与备案管理办法》（国家市场监督管理总局令第</w:t>
      </w:r>
      <w:r>
        <w:rPr>
          <w:rFonts w:hint="eastAsia"/>
        </w:rPr>
        <w:t>48</w:t>
      </w:r>
      <w:r>
        <w:rPr>
          <w:rFonts w:hint="eastAsia"/>
        </w:rPr>
        <w:t>号）（以下统称《办法》）已发布，自</w:t>
      </w:r>
      <w:r>
        <w:rPr>
          <w:rFonts w:hint="eastAsia"/>
        </w:rPr>
        <w:t>2021</w:t>
      </w:r>
      <w:r>
        <w:rPr>
          <w:rFonts w:hint="eastAsia"/>
        </w:rPr>
        <w:t>年</w:t>
      </w:r>
      <w:r>
        <w:rPr>
          <w:rFonts w:hint="eastAsia"/>
        </w:rPr>
        <w:t>10</w:t>
      </w:r>
      <w:r>
        <w:rPr>
          <w:rFonts w:hint="eastAsia"/>
        </w:rPr>
        <w:t>月</w:t>
      </w:r>
      <w:r>
        <w:rPr>
          <w:rFonts w:hint="eastAsia"/>
        </w:rPr>
        <w:t>1</w:t>
      </w:r>
      <w:r>
        <w:rPr>
          <w:rFonts w:hint="eastAsia"/>
        </w:rPr>
        <w:t>日起施行。为做好《办法》实施工作，现将有关事项通告如下：</w:t>
      </w:r>
    </w:p>
    <w:p w14:paraId="42CEAE8C" w14:textId="77777777" w:rsidR="00D33222" w:rsidRDefault="00D33222" w:rsidP="00087DAD">
      <w:pPr>
        <w:pStyle w:val="AD"/>
        <w:spacing w:line="276" w:lineRule="auto"/>
      </w:pPr>
    </w:p>
    <w:p w14:paraId="0E0B139E" w14:textId="77777777" w:rsidR="00D33222" w:rsidRDefault="00D33222" w:rsidP="00087DAD">
      <w:pPr>
        <w:pStyle w:val="AD"/>
        <w:spacing w:line="276" w:lineRule="auto"/>
      </w:pPr>
      <w:r>
        <w:rPr>
          <w:rFonts w:hint="eastAsia"/>
        </w:rPr>
        <w:t xml:space="preserve">　　一、关于《办法》实施前已受理注册申请项目的处理</w:t>
      </w:r>
    </w:p>
    <w:p w14:paraId="59FC574F" w14:textId="77777777" w:rsidR="00D33222" w:rsidRDefault="00D33222" w:rsidP="00087DAD">
      <w:pPr>
        <w:pStyle w:val="AD"/>
        <w:spacing w:line="276" w:lineRule="auto"/>
      </w:pPr>
    </w:p>
    <w:p w14:paraId="40AE5368" w14:textId="77777777" w:rsidR="00D33222" w:rsidRDefault="00D33222" w:rsidP="00087DAD">
      <w:pPr>
        <w:pStyle w:val="AD"/>
        <w:spacing w:line="276" w:lineRule="auto"/>
      </w:pPr>
      <w:r>
        <w:rPr>
          <w:rFonts w:hint="eastAsia"/>
        </w:rPr>
        <w:t xml:space="preserve">　　《办法》实施前已受理但尚未作出审批决定的注册申请项目，药品监督管理部门按照原规定继续审评审批，符合上市条件的，发给医疗器械注册证。延续注册的注册证有效期起始日执行《办法》第八十四条规定。</w:t>
      </w:r>
    </w:p>
    <w:p w14:paraId="7AC29139" w14:textId="77777777" w:rsidR="00D33222" w:rsidRDefault="00D33222" w:rsidP="00087DAD">
      <w:pPr>
        <w:pStyle w:val="AD"/>
        <w:spacing w:line="276" w:lineRule="auto"/>
      </w:pPr>
    </w:p>
    <w:p w14:paraId="154A2CBF" w14:textId="77777777" w:rsidR="00D33222" w:rsidRDefault="00D33222" w:rsidP="00087DAD">
      <w:pPr>
        <w:pStyle w:val="AD"/>
        <w:spacing w:line="276" w:lineRule="auto"/>
      </w:pPr>
      <w:r>
        <w:rPr>
          <w:rFonts w:hint="eastAsia"/>
        </w:rPr>
        <w:t xml:space="preserve">　　二、关于补正材料涉及的检验报告</w:t>
      </w:r>
    </w:p>
    <w:p w14:paraId="59A36ABC" w14:textId="77777777" w:rsidR="00D33222" w:rsidRDefault="00D33222" w:rsidP="00087DAD">
      <w:pPr>
        <w:pStyle w:val="AD"/>
        <w:spacing w:line="276" w:lineRule="auto"/>
      </w:pPr>
    </w:p>
    <w:p w14:paraId="6D4295D8" w14:textId="77777777" w:rsidR="00D33222" w:rsidRDefault="00D33222" w:rsidP="00087DAD">
      <w:pPr>
        <w:pStyle w:val="AD"/>
        <w:spacing w:line="276" w:lineRule="auto"/>
      </w:pPr>
      <w:r>
        <w:rPr>
          <w:rFonts w:hint="eastAsia"/>
        </w:rPr>
        <w:t xml:space="preserve">　　《办法》实施前已受理但尚未作出审批决定的注册申请项目，如补正材料涉及检验报告，注册申请人应当委托具有资质的医疗器械检验机构出具补充检验报告；如注册申请人的体系核查涵盖了检验能力，也可以按照《办法》及相关要求提交补充自检报告。</w:t>
      </w:r>
    </w:p>
    <w:p w14:paraId="2E7B80B9" w14:textId="77777777" w:rsidR="00D33222" w:rsidRDefault="00D33222" w:rsidP="00087DAD">
      <w:pPr>
        <w:pStyle w:val="AD"/>
        <w:spacing w:line="276" w:lineRule="auto"/>
      </w:pPr>
    </w:p>
    <w:p w14:paraId="5305F96B" w14:textId="77777777" w:rsidR="00D33222" w:rsidRDefault="00D33222" w:rsidP="00087DAD">
      <w:pPr>
        <w:pStyle w:val="AD"/>
        <w:spacing w:line="276" w:lineRule="auto"/>
      </w:pPr>
      <w:r>
        <w:rPr>
          <w:rFonts w:hint="eastAsia"/>
        </w:rPr>
        <w:t xml:space="preserve">　　三、关于新的强制性标准实施之日前受理注册申请项目的审查</w:t>
      </w:r>
    </w:p>
    <w:p w14:paraId="273E7143" w14:textId="77777777" w:rsidR="00D33222" w:rsidRDefault="00D33222" w:rsidP="00087DAD">
      <w:pPr>
        <w:pStyle w:val="AD"/>
        <w:spacing w:line="276" w:lineRule="auto"/>
      </w:pPr>
    </w:p>
    <w:p w14:paraId="218BE6B1" w14:textId="77777777" w:rsidR="00D33222" w:rsidRDefault="00D33222" w:rsidP="00087DAD">
      <w:pPr>
        <w:pStyle w:val="AD"/>
        <w:spacing w:line="276" w:lineRule="auto"/>
      </w:pPr>
      <w:r>
        <w:rPr>
          <w:rFonts w:hint="eastAsia"/>
        </w:rPr>
        <w:t xml:space="preserve">　　对于申请注册的医疗器械，其产品技术要求中引用的强制性标准发生变化的，除国家药监局在发布实施标准文件中另有规定外，在新标准实施之日前受理注册的，可以按照原标准进行审评审批。自新标准实施之日起，企业应当全面实施新标准，产品应当符合新标准要求。</w:t>
      </w:r>
    </w:p>
    <w:p w14:paraId="0F1DD57E" w14:textId="77777777" w:rsidR="00D33222" w:rsidRDefault="00D33222" w:rsidP="00087DAD">
      <w:pPr>
        <w:pStyle w:val="AD"/>
        <w:spacing w:line="276" w:lineRule="auto"/>
      </w:pPr>
    </w:p>
    <w:p w14:paraId="0693F74D" w14:textId="77777777" w:rsidR="00D33222" w:rsidRDefault="00D33222" w:rsidP="00087DAD">
      <w:pPr>
        <w:pStyle w:val="AD"/>
        <w:spacing w:line="276" w:lineRule="auto"/>
      </w:pPr>
      <w:r>
        <w:rPr>
          <w:rFonts w:hint="eastAsia"/>
        </w:rPr>
        <w:t xml:space="preserve">　　四、关于医疗器械生物学试验</w:t>
      </w:r>
    </w:p>
    <w:p w14:paraId="7583051C" w14:textId="77777777" w:rsidR="00D33222" w:rsidRDefault="00D33222" w:rsidP="00087DAD">
      <w:pPr>
        <w:pStyle w:val="AD"/>
        <w:spacing w:line="276" w:lineRule="auto"/>
      </w:pPr>
    </w:p>
    <w:p w14:paraId="3E67EF98" w14:textId="77777777" w:rsidR="00D33222" w:rsidRDefault="00D33222" w:rsidP="00087DAD">
      <w:pPr>
        <w:pStyle w:val="AD"/>
        <w:spacing w:line="276" w:lineRule="auto"/>
      </w:pPr>
      <w:r>
        <w:rPr>
          <w:rFonts w:hint="eastAsia"/>
        </w:rPr>
        <w:t xml:space="preserve">　　医疗器械生物学评价中涉及生物学试验的，其生物学试验报告由申请人在申请注册时作为研究资料提交。开展生物学试验，应当委托具有生物学试验资质的医疗器械检验机构按照相关标准进行试验。国外实验室出具的生物学试验报告，应当附有国外实验室表明其符合</w:t>
      </w:r>
      <w:r>
        <w:rPr>
          <w:rFonts w:hint="eastAsia"/>
        </w:rPr>
        <w:t>GLP</w:t>
      </w:r>
      <w:r>
        <w:rPr>
          <w:rFonts w:hint="eastAsia"/>
        </w:rPr>
        <w:t>实验室要求的质量保证文件。</w:t>
      </w:r>
    </w:p>
    <w:p w14:paraId="345F6DC4" w14:textId="77777777" w:rsidR="00D33222" w:rsidRDefault="00D33222" w:rsidP="00087DAD">
      <w:pPr>
        <w:pStyle w:val="AD"/>
        <w:spacing w:line="276" w:lineRule="auto"/>
      </w:pPr>
    </w:p>
    <w:p w14:paraId="4C02BFFC" w14:textId="77777777" w:rsidR="00D33222" w:rsidRDefault="00D33222" w:rsidP="00087DAD">
      <w:pPr>
        <w:pStyle w:val="AD"/>
        <w:spacing w:line="276" w:lineRule="auto"/>
      </w:pPr>
      <w:r>
        <w:rPr>
          <w:rFonts w:hint="eastAsia"/>
        </w:rPr>
        <w:t xml:space="preserve">　　五、关于进口医疗器械和境内生产的医疗器械注册（备案）形式</w:t>
      </w:r>
    </w:p>
    <w:p w14:paraId="208C00D6" w14:textId="77777777" w:rsidR="00D33222" w:rsidRDefault="00D33222" w:rsidP="00087DAD">
      <w:pPr>
        <w:pStyle w:val="AD"/>
        <w:spacing w:line="276" w:lineRule="auto"/>
      </w:pPr>
    </w:p>
    <w:p w14:paraId="3608E6DD" w14:textId="77777777" w:rsidR="00D33222" w:rsidRDefault="00D33222" w:rsidP="00087DAD">
      <w:pPr>
        <w:pStyle w:val="AD"/>
        <w:spacing w:line="276" w:lineRule="auto"/>
      </w:pPr>
      <w:r>
        <w:rPr>
          <w:rFonts w:hint="eastAsia"/>
        </w:rPr>
        <w:t xml:space="preserve">　　进口医疗器械，应当由境外注册申请人（备案人）申请注册（办理备案）；境外企业在境内生产的医疗器械，应当由境内生产的企业作为注册申请人（备案人）申请注册（办理备案）。</w:t>
      </w:r>
    </w:p>
    <w:p w14:paraId="0E8D6CF4" w14:textId="77777777" w:rsidR="00D33222" w:rsidRDefault="00D33222" w:rsidP="00087DAD">
      <w:pPr>
        <w:pStyle w:val="AD"/>
        <w:spacing w:line="276" w:lineRule="auto"/>
      </w:pPr>
    </w:p>
    <w:p w14:paraId="629976C0" w14:textId="77777777" w:rsidR="00D33222" w:rsidRDefault="00D33222" w:rsidP="00087DAD">
      <w:pPr>
        <w:pStyle w:val="AD"/>
        <w:spacing w:line="276" w:lineRule="auto"/>
      </w:pPr>
      <w:r>
        <w:rPr>
          <w:rFonts w:hint="eastAsia"/>
        </w:rPr>
        <w:lastRenderedPageBreak/>
        <w:t xml:space="preserve">　　六、关于第一类医疗器械备案</w:t>
      </w:r>
    </w:p>
    <w:p w14:paraId="346D80BD" w14:textId="77777777" w:rsidR="00D33222" w:rsidRDefault="00D33222" w:rsidP="00087DAD">
      <w:pPr>
        <w:pStyle w:val="AD"/>
        <w:spacing w:line="276" w:lineRule="auto"/>
      </w:pPr>
    </w:p>
    <w:p w14:paraId="67F09618" w14:textId="77777777" w:rsidR="00D33222" w:rsidRDefault="00D33222" w:rsidP="00087DAD">
      <w:pPr>
        <w:pStyle w:val="AD"/>
        <w:spacing w:line="276" w:lineRule="auto"/>
      </w:pPr>
      <w:r>
        <w:rPr>
          <w:rFonts w:hint="eastAsia"/>
        </w:rPr>
        <w:t xml:space="preserve">　　第一类医疗器械备案不需提交临床评价资料。</w:t>
      </w:r>
    </w:p>
    <w:p w14:paraId="13BB02D8" w14:textId="77777777" w:rsidR="00D33222" w:rsidRDefault="00D33222" w:rsidP="00087DAD">
      <w:pPr>
        <w:pStyle w:val="AD"/>
        <w:spacing w:line="276" w:lineRule="auto"/>
      </w:pPr>
    </w:p>
    <w:p w14:paraId="0868D012" w14:textId="77777777" w:rsidR="00D33222" w:rsidRDefault="00D33222" w:rsidP="00087DAD">
      <w:pPr>
        <w:pStyle w:val="AD"/>
        <w:spacing w:line="276" w:lineRule="auto"/>
      </w:pPr>
      <w:r>
        <w:rPr>
          <w:rFonts w:hint="eastAsia"/>
        </w:rPr>
        <w:t xml:space="preserve">　　七、关于医疗器械注册管理相关文件</w:t>
      </w:r>
    </w:p>
    <w:p w14:paraId="3802ED79" w14:textId="77777777" w:rsidR="00D33222" w:rsidRDefault="00D33222" w:rsidP="00087DAD">
      <w:pPr>
        <w:pStyle w:val="AD"/>
        <w:spacing w:line="276" w:lineRule="auto"/>
      </w:pPr>
    </w:p>
    <w:p w14:paraId="635D17DE" w14:textId="77777777" w:rsidR="00D33222" w:rsidRDefault="00D33222" w:rsidP="00087DAD">
      <w:pPr>
        <w:pStyle w:val="AD"/>
        <w:spacing w:line="276" w:lineRule="auto"/>
      </w:pPr>
      <w:r>
        <w:rPr>
          <w:rFonts w:hint="eastAsia"/>
        </w:rPr>
        <w:t xml:space="preserve">　　（一）《办法》实施后，附件中所列的医疗器械注册管理相关文件同时废止。</w:t>
      </w:r>
    </w:p>
    <w:p w14:paraId="0569827C" w14:textId="77777777" w:rsidR="00D33222" w:rsidRDefault="00D33222" w:rsidP="00087DAD">
      <w:pPr>
        <w:pStyle w:val="AD"/>
        <w:spacing w:line="276" w:lineRule="auto"/>
      </w:pPr>
    </w:p>
    <w:p w14:paraId="3BBF7290" w14:textId="77777777" w:rsidR="00D33222" w:rsidRDefault="00D33222" w:rsidP="00087DAD">
      <w:pPr>
        <w:pStyle w:val="AD"/>
        <w:spacing w:line="276" w:lineRule="auto"/>
      </w:pPr>
      <w:r>
        <w:rPr>
          <w:rFonts w:hint="eastAsia"/>
        </w:rPr>
        <w:t xml:space="preserve">　　（二）《办法》中未涉及的事项，如国务院药品监督管理部门以前发布的医疗器械注册管理的文件中有明确规定的，仍执行原规定。</w:t>
      </w:r>
    </w:p>
    <w:p w14:paraId="3A9ADBE6" w14:textId="77777777" w:rsidR="00D33222" w:rsidRDefault="00D33222" w:rsidP="00087DAD">
      <w:pPr>
        <w:pStyle w:val="AD"/>
        <w:spacing w:line="276" w:lineRule="auto"/>
      </w:pPr>
    </w:p>
    <w:p w14:paraId="61F2DB5F" w14:textId="77777777" w:rsidR="00D33222" w:rsidRDefault="00D33222" w:rsidP="00087DAD">
      <w:pPr>
        <w:pStyle w:val="AD"/>
        <w:spacing w:line="276" w:lineRule="auto"/>
      </w:pPr>
      <w:r>
        <w:rPr>
          <w:rFonts w:hint="eastAsia"/>
        </w:rPr>
        <w:t xml:space="preserve">　　特此通告。</w:t>
      </w:r>
    </w:p>
    <w:p w14:paraId="518087FD" w14:textId="77777777" w:rsidR="00D33222" w:rsidRDefault="00D33222" w:rsidP="00087DAD">
      <w:pPr>
        <w:pStyle w:val="AD"/>
        <w:spacing w:line="276" w:lineRule="auto"/>
      </w:pPr>
    </w:p>
    <w:p w14:paraId="4AEDC66F" w14:textId="173F92EE" w:rsidR="00D33222" w:rsidRDefault="00D33222" w:rsidP="00087DAD">
      <w:pPr>
        <w:pStyle w:val="AD"/>
        <w:spacing w:line="276" w:lineRule="auto"/>
      </w:pPr>
      <w:r>
        <w:rPr>
          <w:rFonts w:hint="eastAsia"/>
        </w:rPr>
        <w:t xml:space="preserve">　　</w:t>
      </w:r>
      <w:hyperlink r:id="rId6" w:history="1">
        <w:r w:rsidRPr="001320BE">
          <w:rPr>
            <w:rStyle w:val="a9"/>
            <w:rFonts w:hint="eastAsia"/>
          </w:rPr>
          <w:t>附件：废止文件目录</w:t>
        </w:r>
      </w:hyperlink>
    </w:p>
    <w:p w14:paraId="79BFB8E4" w14:textId="77777777" w:rsidR="00D33222" w:rsidRDefault="00D33222" w:rsidP="00087DAD">
      <w:pPr>
        <w:pStyle w:val="AD"/>
        <w:spacing w:line="276" w:lineRule="auto"/>
      </w:pPr>
    </w:p>
    <w:p w14:paraId="6556E2A2" w14:textId="393CC606" w:rsidR="00D33222" w:rsidRDefault="00D33222" w:rsidP="00087DAD">
      <w:pPr>
        <w:pStyle w:val="AD"/>
        <w:spacing w:line="276" w:lineRule="auto"/>
        <w:jc w:val="right"/>
      </w:pPr>
      <w:r>
        <w:rPr>
          <w:rFonts w:hint="eastAsia"/>
        </w:rPr>
        <w:t>国家药监局</w:t>
      </w:r>
    </w:p>
    <w:p w14:paraId="4378B563" w14:textId="6B859B6F" w:rsidR="00B15193" w:rsidRDefault="00D33222" w:rsidP="00087DAD">
      <w:pPr>
        <w:pStyle w:val="AD"/>
        <w:spacing w:line="276" w:lineRule="auto"/>
        <w:jc w:val="right"/>
      </w:pPr>
      <w:r>
        <w:rPr>
          <w:rFonts w:hint="eastAsia"/>
        </w:rPr>
        <w:t>2021</w:t>
      </w:r>
      <w:r>
        <w:rPr>
          <w:rFonts w:hint="eastAsia"/>
        </w:rPr>
        <w:t>年</w:t>
      </w:r>
      <w:r>
        <w:rPr>
          <w:rFonts w:hint="eastAsia"/>
        </w:rPr>
        <w:t>9</w:t>
      </w:r>
      <w:r>
        <w:rPr>
          <w:rFonts w:hint="eastAsia"/>
        </w:rPr>
        <w:t>月</w:t>
      </w:r>
      <w:r>
        <w:rPr>
          <w:rFonts w:hint="eastAsia"/>
        </w:rPr>
        <w:t>28</w:t>
      </w:r>
      <w:r>
        <w:rPr>
          <w:rFonts w:hint="eastAsia"/>
        </w:rPr>
        <w:t>日</w:t>
      </w:r>
    </w:p>
    <w:p w14:paraId="75585DD4" w14:textId="5A148E97" w:rsidR="00D33222" w:rsidRDefault="00D33222" w:rsidP="00087DAD">
      <w:pPr>
        <w:pStyle w:val="AD"/>
        <w:spacing w:line="276" w:lineRule="auto"/>
      </w:pPr>
    </w:p>
    <w:p w14:paraId="61AF2B5E" w14:textId="181FA04C" w:rsidR="00D33222" w:rsidRDefault="00D33222" w:rsidP="00087DAD">
      <w:pPr>
        <w:pStyle w:val="AD"/>
        <w:spacing w:line="276" w:lineRule="auto"/>
      </w:pPr>
    </w:p>
    <w:p w14:paraId="105553B6" w14:textId="16D167AB" w:rsidR="00D33222" w:rsidRDefault="00D33222" w:rsidP="00087DAD">
      <w:pPr>
        <w:pStyle w:val="AD"/>
        <w:spacing w:line="276" w:lineRule="auto"/>
      </w:pPr>
      <w:r>
        <w:rPr>
          <w:rFonts w:hint="eastAsia"/>
        </w:rPr>
        <w:t>信息来源：</w:t>
      </w:r>
      <w:hyperlink r:id="rId7" w:history="1">
        <w:r w:rsidRPr="00F34EBF">
          <w:rPr>
            <w:rStyle w:val="a9"/>
          </w:rPr>
          <w:t>https://www.nmpa.gov.cn/xxgk/ggtg/qtggtg/20210929171254177.html</w:t>
        </w:r>
      </w:hyperlink>
    </w:p>
    <w:p w14:paraId="64FC3113" w14:textId="77777777" w:rsidR="00D33222" w:rsidRPr="00D33222" w:rsidRDefault="00D33222" w:rsidP="00087DAD">
      <w:pPr>
        <w:pStyle w:val="AD"/>
        <w:spacing w:line="276" w:lineRule="auto"/>
      </w:pPr>
    </w:p>
    <w:sectPr w:rsidR="00D33222" w:rsidRPr="00D3322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39A5" w14:textId="77777777" w:rsidR="003E7F3A" w:rsidRDefault="003E7F3A" w:rsidP="00C20A6A">
      <w:pPr>
        <w:spacing w:line="240" w:lineRule="auto"/>
      </w:pPr>
      <w:r>
        <w:separator/>
      </w:r>
    </w:p>
  </w:endnote>
  <w:endnote w:type="continuationSeparator" w:id="0">
    <w:p w14:paraId="5D3FEA0D" w14:textId="77777777" w:rsidR="003E7F3A" w:rsidRDefault="003E7F3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B625" w14:textId="77777777" w:rsidR="003E7F3A" w:rsidRDefault="003E7F3A" w:rsidP="00C20A6A">
      <w:pPr>
        <w:spacing w:line="240" w:lineRule="auto"/>
      </w:pPr>
      <w:r>
        <w:separator/>
      </w:r>
    </w:p>
  </w:footnote>
  <w:footnote w:type="continuationSeparator" w:id="0">
    <w:p w14:paraId="1B99CD37" w14:textId="77777777" w:rsidR="003E7F3A" w:rsidRDefault="003E7F3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3177"/>
    <w:rsid w:val="00087DAD"/>
    <w:rsid w:val="000F4C6A"/>
    <w:rsid w:val="00103177"/>
    <w:rsid w:val="001320BE"/>
    <w:rsid w:val="00176A25"/>
    <w:rsid w:val="001C4C6F"/>
    <w:rsid w:val="003D27E2"/>
    <w:rsid w:val="003E7F3A"/>
    <w:rsid w:val="005F7C76"/>
    <w:rsid w:val="007D7BDB"/>
    <w:rsid w:val="008F05D3"/>
    <w:rsid w:val="00A548E7"/>
    <w:rsid w:val="00AF2441"/>
    <w:rsid w:val="00B15193"/>
    <w:rsid w:val="00B70A90"/>
    <w:rsid w:val="00B731F1"/>
    <w:rsid w:val="00C20A6A"/>
    <w:rsid w:val="00C22624"/>
    <w:rsid w:val="00D02718"/>
    <w:rsid w:val="00D3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A09B2"/>
  <w15:chartTrackingRefBased/>
  <w15:docId w15:val="{6D30D669-76D2-4575-A4D2-FBF3D4FF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33222"/>
    <w:pPr>
      <w:ind w:leftChars="2500" w:left="100"/>
    </w:pPr>
  </w:style>
  <w:style w:type="character" w:customStyle="1" w:styleId="a8">
    <w:name w:val="日期 字符"/>
    <w:basedOn w:val="a0"/>
    <w:link w:val="a7"/>
    <w:uiPriority w:val="99"/>
    <w:semiHidden/>
    <w:rsid w:val="00D33222"/>
    <w:rPr>
      <w:rFonts w:ascii="Arial" w:eastAsia="宋体" w:hAnsi="Arial"/>
      <w:sz w:val="22"/>
    </w:rPr>
  </w:style>
  <w:style w:type="character" w:styleId="a9">
    <w:name w:val="Hyperlink"/>
    <w:basedOn w:val="a0"/>
    <w:uiPriority w:val="99"/>
    <w:unhideWhenUsed/>
    <w:rsid w:val="00D33222"/>
    <w:rPr>
      <w:color w:val="0000FF" w:themeColor="hyperlink"/>
      <w:u w:val="single"/>
    </w:rPr>
  </w:style>
  <w:style w:type="character" w:styleId="aa">
    <w:name w:val="Unresolved Mention"/>
    <w:basedOn w:val="a0"/>
    <w:uiPriority w:val="99"/>
    <w:semiHidden/>
    <w:unhideWhenUsed/>
    <w:rsid w:val="00D3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mpa.gov.cn/xxgk/ggtg/qtggtg/2021092917125417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014012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2021-10-13T03:06:00Z</dcterms:created>
  <dcterms:modified xsi:type="dcterms:W3CDTF">2021-10-15T03:01:00Z</dcterms:modified>
</cp:coreProperties>
</file>