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74B4" w14:textId="77777777" w:rsidR="000F3A81" w:rsidRDefault="000F3A81" w:rsidP="000F3A81">
      <w:pPr>
        <w:pStyle w:val="AD"/>
        <w:spacing w:line="276" w:lineRule="auto"/>
        <w:jc w:val="center"/>
        <w:rPr>
          <w:b/>
          <w:bCs/>
          <w:color w:val="E36C0A" w:themeColor="accent6" w:themeShade="BF"/>
          <w:sz w:val="32"/>
          <w:szCs w:val="32"/>
        </w:rPr>
      </w:pPr>
      <w:r w:rsidRPr="000F3A81">
        <w:rPr>
          <w:rFonts w:hint="eastAsia"/>
          <w:b/>
          <w:bCs/>
          <w:color w:val="E36C0A" w:themeColor="accent6" w:themeShade="BF"/>
          <w:sz w:val="32"/>
          <w:szCs w:val="32"/>
        </w:rPr>
        <w:t>关于进一步防范和处置虚拟货币交易炒作风险的通知</w:t>
      </w:r>
    </w:p>
    <w:p w14:paraId="3682259B" w14:textId="24B52B72" w:rsidR="000F3A81" w:rsidRPr="000F3A81" w:rsidRDefault="000F3A81" w:rsidP="000F3A81">
      <w:pPr>
        <w:pStyle w:val="AD"/>
        <w:spacing w:line="276" w:lineRule="auto"/>
        <w:jc w:val="center"/>
      </w:pPr>
      <w:r w:rsidRPr="000F3A81">
        <w:rPr>
          <w:rFonts w:hint="eastAsia"/>
        </w:rPr>
        <w:t>（银发〔</w:t>
      </w:r>
      <w:r w:rsidRPr="000F3A81">
        <w:rPr>
          <w:rFonts w:hint="eastAsia"/>
        </w:rPr>
        <w:t>2021</w:t>
      </w:r>
      <w:r w:rsidRPr="000F3A81">
        <w:rPr>
          <w:rFonts w:hint="eastAsia"/>
        </w:rPr>
        <w:t>〕</w:t>
      </w:r>
      <w:r w:rsidRPr="000F3A81">
        <w:rPr>
          <w:rFonts w:hint="eastAsia"/>
        </w:rPr>
        <w:t>237</w:t>
      </w:r>
      <w:r w:rsidRPr="000F3A81">
        <w:rPr>
          <w:rFonts w:hint="eastAsia"/>
        </w:rPr>
        <w:t>号）</w:t>
      </w:r>
    </w:p>
    <w:p w14:paraId="39E97D35" w14:textId="3E2BB42A" w:rsidR="000F3A81" w:rsidRDefault="000F3A81" w:rsidP="000F3A81">
      <w:pPr>
        <w:pStyle w:val="AD"/>
        <w:spacing w:line="276" w:lineRule="auto"/>
      </w:pPr>
    </w:p>
    <w:p w14:paraId="21AD4D4D" w14:textId="77777777" w:rsidR="000F3A81" w:rsidRDefault="000F3A81" w:rsidP="000F3A81">
      <w:pPr>
        <w:pStyle w:val="AD"/>
        <w:spacing w:line="276" w:lineRule="auto"/>
      </w:pPr>
      <w:r>
        <w:rPr>
          <w:rFonts w:hint="eastAsia"/>
        </w:rPr>
        <w:t>各省、自治区、直辖市人民政府，新疆生产建设兵团：</w:t>
      </w:r>
    </w:p>
    <w:p w14:paraId="61183372" w14:textId="77777777" w:rsidR="00C53D18" w:rsidRDefault="00C53D18" w:rsidP="000F3A81">
      <w:pPr>
        <w:pStyle w:val="AD"/>
        <w:spacing w:line="276" w:lineRule="auto"/>
      </w:pPr>
    </w:p>
    <w:p w14:paraId="107B4FDA" w14:textId="27722593" w:rsidR="000F3A81" w:rsidRDefault="000F3A81" w:rsidP="000F3A81">
      <w:pPr>
        <w:pStyle w:val="AD"/>
        <w:spacing w:line="276" w:lineRule="auto"/>
      </w:pPr>
      <w:r>
        <w:rPr>
          <w:rFonts w:hint="eastAsia"/>
        </w:rPr>
        <w:t xml:space="preserve">　　近期，虚拟货币交易炒作活动抬头，扰乱经济金融秩序，滋生赌博、非法集资、诈骗、传销、洗钱等违法犯罪活动，严重危害人民群众财产安全。为进一步防范和处置虚拟货币交易炒作风险，切实维护国家安全和社会稳定，依据《中华人民共和国中国人民银行法》《中华人民共和国商业银行法》《中华人民共和国证券法》《中华人民共和国网络安全法》《中华人民共和国电信条例》《防范和处置非法集资条例》《期货交易管理条例》《国务院关于清理整顿各类交易场所切实防范金融风险的决定》《国务院办公厅关于清理整顿各类交易场所的实施意见》等规定，现就有关事项通知如下：</w:t>
      </w:r>
    </w:p>
    <w:p w14:paraId="0DDAE47F" w14:textId="77777777" w:rsidR="00C53D18" w:rsidRDefault="00C53D18" w:rsidP="000F3A81">
      <w:pPr>
        <w:pStyle w:val="AD"/>
        <w:spacing w:line="276" w:lineRule="auto"/>
      </w:pPr>
    </w:p>
    <w:p w14:paraId="65B31F9B" w14:textId="787A7B58" w:rsidR="000F3A81" w:rsidRDefault="000F3A81" w:rsidP="000F3A81">
      <w:pPr>
        <w:pStyle w:val="AD"/>
        <w:spacing w:line="276" w:lineRule="auto"/>
      </w:pPr>
      <w:r>
        <w:rPr>
          <w:rFonts w:hint="eastAsia"/>
        </w:rPr>
        <w:t xml:space="preserve">　　一、明确虚拟货币和相关业务活动本质属性</w:t>
      </w:r>
    </w:p>
    <w:p w14:paraId="40D26066" w14:textId="77777777" w:rsidR="00C53D18" w:rsidRDefault="00C53D18" w:rsidP="000F3A81">
      <w:pPr>
        <w:pStyle w:val="AD"/>
        <w:spacing w:line="276" w:lineRule="auto"/>
      </w:pPr>
    </w:p>
    <w:p w14:paraId="23D06D1B" w14:textId="217C83A0" w:rsidR="000F3A81" w:rsidRDefault="000F3A81" w:rsidP="000F3A81">
      <w:pPr>
        <w:pStyle w:val="AD"/>
        <w:spacing w:line="276" w:lineRule="auto"/>
      </w:pPr>
      <w:r>
        <w:rPr>
          <w:rFonts w:hint="eastAsia"/>
        </w:rPr>
        <w:t xml:space="preserve">　　（一）虚拟货币不具有与法定货币等同的法律地位。比特币、以太币、</w:t>
      </w:r>
      <w:proofErr w:type="gramStart"/>
      <w:r>
        <w:rPr>
          <w:rFonts w:hint="eastAsia"/>
        </w:rPr>
        <w:t>泰达币等</w:t>
      </w:r>
      <w:proofErr w:type="gramEnd"/>
      <w:r>
        <w:rPr>
          <w:rFonts w:hint="eastAsia"/>
        </w:rPr>
        <w:t>虚拟货币具有非货币当局发行、使用加密技术及分布式账户或类似技术、以数字化形式存在等主要特点，不具有法偿性，不应且不能作为货币在市场上流通使用。</w:t>
      </w:r>
    </w:p>
    <w:p w14:paraId="78839139" w14:textId="77777777" w:rsidR="00C53D18" w:rsidRDefault="00C53D18" w:rsidP="000F3A81">
      <w:pPr>
        <w:pStyle w:val="AD"/>
        <w:spacing w:line="276" w:lineRule="auto"/>
      </w:pPr>
    </w:p>
    <w:p w14:paraId="0DF65896" w14:textId="61C909A3" w:rsidR="000F3A81" w:rsidRDefault="000F3A81" w:rsidP="000F3A81">
      <w:pPr>
        <w:pStyle w:val="AD"/>
        <w:spacing w:line="276" w:lineRule="auto"/>
      </w:pPr>
      <w:r>
        <w:rPr>
          <w:rFonts w:hint="eastAsia"/>
        </w:rPr>
        <w:t xml:space="preserve">　　（二）虚拟货币相关业务活动属于非法金融活动。开展法定货币与虚拟货币兑换业务、虚拟货币之间的兑换业务、作为中央对手方买卖虚拟货币、为虚拟货币交易提供信息中介和定价服务、代币发行融资以及虚拟货币衍生品交易等虚拟货币相关业务活动涉嫌非法发售代币票券、擅自公开发行证券、非法经营期货业务、非法集资等非法金融活动，一律严格禁止，坚决依法取缔。对于开展相关非法金融活动构成犯罪的，依法追究刑事责任。</w:t>
      </w:r>
    </w:p>
    <w:p w14:paraId="10F06466" w14:textId="77777777" w:rsidR="00C53D18" w:rsidRDefault="00C53D18" w:rsidP="000F3A81">
      <w:pPr>
        <w:pStyle w:val="AD"/>
        <w:spacing w:line="276" w:lineRule="auto"/>
      </w:pPr>
    </w:p>
    <w:p w14:paraId="3EB139AD" w14:textId="6A671DD5" w:rsidR="000F3A81" w:rsidRDefault="000F3A81" w:rsidP="000F3A81">
      <w:pPr>
        <w:pStyle w:val="AD"/>
        <w:spacing w:line="276" w:lineRule="auto"/>
      </w:pPr>
      <w:r>
        <w:rPr>
          <w:rFonts w:hint="eastAsia"/>
        </w:rPr>
        <w:t xml:space="preserve">　　（三）境外虚拟货币交易所通过互联网向我国境内居民提供服务同样属于非法金融活动。对于相关境外虚拟货币交易所的境内工作人员，以及明知或应知其从事虚拟货币相关业务，仍为其提供营销宣传、支付结算、技术支持等服务的法人、非法人组织和自然人，依法追究有关责任。</w:t>
      </w:r>
    </w:p>
    <w:p w14:paraId="0173BE7C" w14:textId="77777777" w:rsidR="00C53D18" w:rsidRDefault="00C53D18" w:rsidP="000F3A81">
      <w:pPr>
        <w:pStyle w:val="AD"/>
        <w:spacing w:line="276" w:lineRule="auto"/>
      </w:pPr>
    </w:p>
    <w:p w14:paraId="2FFE6AC1" w14:textId="714865BC" w:rsidR="000F3A81" w:rsidRDefault="000F3A81" w:rsidP="000F3A81">
      <w:pPr>
        <w:pStyle w:val="AD"/>
        <w:spacing w:line="276" w:lineRule="auto"/>
      </w:pPr>
      <w:r>
        <w:rPr>
          <w:rFonts w:hint="eastAsia"/>
        </w:rPr>
        <w:t xml:space="preserve">　　（四）参与虚拟货币投资交易活动存在法律风险。任何法人、非法人组织和自然人投资虚拟货币及相关衍生品，违背公序良俗的，相关民事法律行为无效，由此引发的损失由其自行承担；涉嫌破坏金融秩序、危害金融安全的，由相关部门依法查处。</w:t>
      </w:r>
    </w:p>
    <w:p w14:paraId="70F89782" w14:textId="77777777" w:rsidR="00C53D18" w:rsidRDefault="00C53D18" w:rsidP="000F3A81">
      <w:pPr>
        <w:pStyle w:val="AD"/>
        <w:spacing w:line="276" w:lineRule="auto"/>
      </w:pPr>
    </w:p>
    <w:p w14:paraId="4E523DD6" w14:textId="505F3EC9" w:rsidR="000F3A81" w:rsidRDefault="000F3A81" w:rsidP="000F3A81">
      <w:pPr>
        <w:pStyle w:val="AD"/>
        <w:spacing w:line="276" w:lineRule="auto"/>
      </w:pPr>
      <w:r>
        <w:rPr>
          <w:rFonts w:hint="eastAsia"/>
        </w:rPr>
        <w:t xml:space="preserve">　　二、建立健全应对虚拟货币交易炒作风险的工作机制</w:t>
      </w:r>
    </w:p>
    <w:p w14:paraId="2AF275DA" w14:textId="77777777" w:rsidR="00C53D18" w:rsidRDefault="00C53D18" w:rsidP="000F3A81">
      <w:pPr>
        <w:pStyle w:val="AD"/>
        <w:spacing w:line="276" w:lineRule="auto"/>
      </w:pPr>
    </w:p>
    <w:p w14:paraId="441B1EC6" w14:textId="0BD95083" w:rsidR="000F3A81" w:rsidRDefault="000F3A81" w:rsidP="000F3A81">
      <w:pPr>
        <w:pStyle w:val="AD"/>
        <w:spacing w:line="276" w:lineRule="auto"/>
      </w:pPr>
      <w:r>
        <w:rPr>
          <w:rFonts w:hint="eastAsia"/>
        </w:rPr>
        <w:t xml:space="preserve">　　（五）部门协同联动。人民银行会同</w:t>
      </w:r>
      <w:proofErr w:type="gramStart"/>
      <w:r>
        <w:rPr>
          <w:rFonts w:hint="eastAsia"/>
        </w:rPr>
        <w:t>中央网信办</w:t>
      </w:r>
      <w:proofErr w:type="gramEnd"/>
      <w:r>
        <w:rPr>
          <w:rFonts w:hint="eastAsia"/>
        </w:rPr>
        <w:t>、最高人民法院、最高人民检察院、工业和信息化部、公安部、市场监管总局、银保监会、证监会、外汇局等部门建立工作协调机制，协同解决工作中的重大问题，督促指导各地区按统一部署开展工作。</w:t>
      </w:r>
    </w:p>
    <w:p w14:paraId="3D0F1BBB" w14:textId="77777777" w:rsidR="00C53D18" w:rsidRDefault="00C53D18" w:rsidP="000F3A81">
      <w:pPr>
        <w:pStyle w:val="AD"/>
        <w:spacing w:line="276" w:lineRule="auto"/>
      </w:pPr>
    </w:p>
    <w:p w14:paraId="5F785836" w14:textId="329FF1E1" w:rsidR="000F3A81" w:rsidRDefault="000F3A81" w:rsidP="000F3A81">
      <w:pPr>
        <w:pStyle w:val="AD"/>
        <w:spacing w:line="276" w:lineRule="auto"/>
      </w:pPr>
      <w:r>
        <w:rPr>
          <w:rFonts w:hint="eastAsia"/>
        </w:rPr>
        <w:t xml:space="preserve">　　（六）强化属地落实。各省级人民政府对本行政区域内防范和处置虚拟货币交易炒作相关风险负总责，由地方金融监管部门牵头，国务院金融管理部门分支机构以及网信、电信主管、公安、市场监管等部门参加，建立常态化工作机制，统筹调动资源，积极预防、妥善处理虚拟货币交易炒作有关问题，维护经济金融秩序和社会和谐稳定。</w:t>
      </w:r>
    </w:p>
    <w:p w14:paraId="463F1B3B" w14:textId="77777777" w:rsidR="00C53D18" w:rsidRDefault="00C53D18" w:rsidP="000F3A81">
      <w:pPr>
        <w:pStyle w:val="AD"/>
        <w:spacing w:line="276" w:lineRule="auto"/>
      </w:pPr>
    </w:p>
    <w:p w14:paraId="26DCF7FF" w14:textId="07A7AA5B" w:rsidR="000F3A81" w:rsidRDefault="000F3A81" w:rsidP="000F3A81">
      <w:pPr>
        <w:pStyle w:val="AD"/>
        <w:spacing w:line="276" w:lineRule="auto"/>
      </w:pPr>
      <w:r>
        <w:rPr>
          <w:rFonts w:hint="eastAsia"/>
        </w:rPr>
        <w:t xml:space="preserve">　　三、加强虚拟货币交易炒作风险监测预警</w:t>
      </w:r>
    </w:p>
    <w:p w14:paraId="0F99D982" w14:textId="77777777" w:rsidR="00C53D18" w:rsidRDefault="00C53D18" w:rsidP="000F3A81">
      <w:pPr>
        <w:pStyle w:val="AD"/>
        <w:spacing w:line="276" w:lineRule="auto"/>
      </w:pPr>
    </w:p>
    <w:p w14:paraId="0622A617" w14:textId="7E048CC8" w:rsidR="000F3A81" w:rsidRDefault="000F3A81" w:rsidP="000F3A81">
      <w:pPr>
        <w:pStyle w:val="AD"/>
        <w:spacing w:line="276" w:lineRule="auto"/>
      </w:pPr>
      <w:r>
        <w:rPr>
          <w:rFonts w:hint="eastAsia"/>
        </w:rPr>
        <w:t xml:space="preserve">　　（七）全方位监测预警。各省级人民政府充分发挥地方监测预警机制作用，线上监测和线下排查相结合，提高识别发现虚拟货币交易炒作活动的精度和效率。人民银行、</w:t>
      </w:r>
      <w:proofErr w:type="gramStart"/>
      <w:r>
        <w:rPr>
          <w:rFonts w:hint="eastAsia"/>
        </w:rPr>
        <w:t>中央网信办</w:t>
      </w:r>
      <w:proofErr w:type="gramEnd"/>
      <w:r>
        <w:rPr>
          <w:rFonts w:hint="eastAsia"/>
        </w:rPr>
        <w:t>等部门持续完善加密资产监测技术手段，实现虚拟货币“挖矿”、交易、兑换的全链条跟踪和全时信息备份。金融管理部门指导金融机构和非银行支付机构加强对涉虚拟货币交易资金的监测工作。</w:t>
      </w:r>
    </w:p>
    <w:p w14:paraId="78F79EB2" w14:textId="77777777" w:rsidR="00C53D18" w:rsidRDefault="00C53D18" w:rsidP="000F3A81">
      <w:pPr>
        <w:pStyle w:val="AD"/>
        <w:spacing w:line="276" w:lineRule="auto"/>
      </w:pPr>
    </w:p>
    <w:p w14:paraId="7A4A7986" w14:textId="1C3A05A7" w:rsidR="000F3A81" w:rsidRDefault="000F3A81" w:rsidP="000F3A81">
      <w:pPr>
        <w:pStyle w:val="AD"/>
        <w:spacing w:line="276" w:lineRule="auto"/>
      </w:pPr>
      <w:r>
        <w:rPr>
          <w:rFonts w:hint="eastAsia"/>
        </w:rPr>
        <w:t xml:space="preserve">　　（八）建立信息共享和快速反应机制。在各省级人民政府领导下，地方金融监管部门会同国务院金融管理部门分支机构、</w:t>
      </w:r>
      <w:proofErr w:type="gramStart"/>
      <w:r>
        <w:rPr>
          <w:rFonts w:hint="eastAsia"/>
        </w:rPr>
        <w:t>网信部门</w:t>
      </w:r>
      <w:proofErr w:type="gramEnd"/>
      <w:r>
        <w:rPr>
          <w:rFonts w:hint="eastAsia"/>
        </w:rPr>
        <w:t>、公安机关等加强线上监控、线下摸排、资金监测的有效衔接，建立虚拟货币交易炒作信息共享和交叉验证机制，以及预警信息传递、核查、处置快速反应机制。</w:t>
      </w:r>
    </w:p>
    <w:p w14:paraId="09501377" w14:textId="77777777" w:rsidR="00C53D18" w:rsidRDefault="00C53D18" w:rsidP="000F3A81">
      <w:pPr>
        <w:pStyle w:val="AD"/>
        <w:spacing w:line="276" w:lineRule="auto"/>
      </w:pPr>
    </w:p>
    <w:p w14:paraId="1624FA3A" w14:textId="4E901A5C" w:rsidR="000F3A81" w:rsidRDefault="000F3A81" w:rsidP="000F3A81">
      <w:pPr>
        <w:pStyle w:val="AD"/>
        <w:spacing w:line="276" w:lineRule="auto"/>
      </w:pPr>
      <w:r>
        <w:rPr>
          <w:rFonts w:hint="eastAsia"/>
        </w:rPr>
        <w:t xml:space="preserve">　　四、构建多维度、多层次的风险防范和处置体系</w:t>
      </w:r>
    </w:p>
    <w:p w14:paraId="1ACAC81B" w14:textId="77777777" w:rsidR="00C53D18" w:rsidRDefault="00C53D18" w:rsidP="000F3A81">
      <w:pPr>
        <w:pStyle w:val="AD"/>
        <w:spacing w:line="276" w:lineRule="auto"/>
      </w:pPr>
    </w:p>
    <w:p w14:paraId="23A02FF4" w14:textId="6007801D" w:rsidR="000F3A81" w:rsidRDefault="000F3A81" w:rsidP="000F3A81">
      <w:pPr>
        <w:pStyle w:val="AD"/>
        <w:spacing w:line="276" w:lineRule="auto"/>
      </w:pPr>
      <w:r>
        <w:rPr>
          <w:rFonts w:hint="eastAsia"/>
        </w:rPr>
        <w:t xml:space="preserve">　　（九）金融机构和非银行支付机构不得为虚拟货币相关业务活动提供服务。金融机构和非银行支付机构不得为虚拟货币相关业务活动提供账户开立、资金划转和清算结算等服务，不得将虚拟货币纳入抵质押品范围，不得开展与虚拟货币相关的保险业务或将虚拟货币纳入保险责任范围，发现违法违规问题线索应及时向有关部门报告。</w:t>
      </w:r>
    </w:p>
    <w:p w14:paraId="660F6E8A" w14:textId="77777777" w:rsidR="00C53D18" w:rsidRDefault="00C53D18" w:rsidP="000F3A81">
      <w:pPr>
        <w:pStyle w:val="AD"/>
        <w:spacing w:line="276" w:lineRule="auto"/>
      </w:pPr>
    </w:p>
    <w:p w14:paraId="535C75E9" w14:textId="706B790A" w:rsidR="000F3A81" w:rsidRDefault="000F3A81" w:rsidP="000F3A81">
      <w:pPr>
        <w:pStyle w:val="AD"/>
        <w:spacing w:line="276" w:lineRule="auto"/>
      </w:pPr>
      <w:r>
        <w:rPr>
          <w:rFonts w:hint="eastAsia"/>
        </w:rPr>
        <w:t xml:space="preserve">　　（十）加强对虚拟货币相关的互联网信息内容和接入管理。互联网企业不得为虚拟货币相关业务活动提供网络经营场所、商业展示、营销宣传、付费导流等服务，发现违法违规问题线索应及时向有关部门报告，并为相关调查、侦查工作提供技术支持和协助。</w:t>
      </w:r>
      <w:proofErr w:type="gramStart"/>
      <w:r>
        <w:rPr>
          <w:rFonts w:hint="eastAsia"/>
        </w:rPr>
        <w:t>网信和</w:t>
      </w:r>
      <w:proofErr w:type="gramEnd"/>
      <w:r>
        <w:rPr>
          <w:rFonts w:hint="eastAsia"/>
        </w:rPr>
        <w:t>电信主管部门根据金融管理部门移送的问题线索及时依法关闭开展虚拟货币相关业务活动的网站、移动应用程序、小程序等互联网应用。</w:t>
      </w:r>
    </w:p>
    <w:p w14:paraId="0BCB67F5" w14:textId="77777777" w:rsidR="00C53D18" w:rsidRDefault="00C53D18" w:rsidP="000F3A81">
      <w:pPr>
        <w:pStyle w:val="AD"/>
        <w:spacing w:line="276" w:lineRule="auto"/>
      </w:pPr>
    </w:p>
    <w:p w14:paraId="1D24566B" w14:textId="79109259" w:rsidR="000F3A81" w:rsidRDefault="000F3A81" w:rsidP="000F3A81">
      <w:pPr>
        <w:pStyle w:val="AD"/>
        <w:spacing w:line="276" w:lineRule="auto"/>
      </w:pPr>
      <w:r>
        <w:rPr>
          <w:rFonts w:hint="eastAsia"/>
        </w:rPr>
        <w:t xml:space="preserve">　　（十一）加强对虚拟货币相关的市场主体登记和广告管理。市场监管部门加强市场主体登记管理，企业、个体工商户注册名称和经营范围中不得含有“虚拟货币”“虚拟资产”“加密货币”“加密资产”等字样或内容。市场监管部门会同金融管理部门依法加强对涉虚拟货币相关广告的监管，及时查处相关违法广告。</w:t>
      </w:r>
    </w:p>
    <w:p w14:paraId="1740305C" w14:textId="77777777" w:rsidR="00C53D18" w:rsidRDefault="00C53D18" w:rsidP="000F3A81">
      <w:pPr>
        <w:pStyle w:val="AD"/>
        <w:spacing w:line="276" w:lineRule="auto"/>
      </w:pPr>
    </w:p>
    <w:p w14:paraId="16141A7E" w14:textId="155FCCCA" w:rsidR="000F3A81" w:rsidRDefault="000F3A81" w:rsidP="000F3A81">
      <w:pPr>
        <w:pStyle w:val="AD"/>
        <w:spacing w:line="276" w:lineRule="auto"/>
      </w:pPr>
      <w:r>
        <w:rPr>
          <w:rFonts w:hint="eastAsia"/>
        </w:rPr>
        <w:t xml:space="preserve">　　（十二）严厉打击虚拟货币相关非法金融活动。发现虚拟货币相关非法金融活动问题线索后，地方金融监管部门会同国务院金融管理部门分支机构等相关部门依法及时调查认定、妥善</w:t>
      </w:r>
      <w:r>
        <w:rPr>
          <w:rFonts w:hint="eastAsia"/>
        </w:rPr>
        <w:lastRenderedPageBreak/>
        <w:t>处置，并严肃追究有关法人、非法人组织和自然人的法律责任，涉及犯罪的，移送司法机关依法查处。</w:t>
      </w:r>
    </w:p>
    <w:p w14:paraId="59A1277B" w14:textId="77777777" w:rsidR="00C53D18" w:rsidRDefault="00C53D18" w:rsidP="000F3A81">
      <w:pPr>
        <w:pStyle w:val="AD"/>
        <w:spacing w:line="276" w:lineRule="auto"/>
      </w:pPr>
    </w:p>
    <w:p w14:paraId="1C492287" w14:textId="148BFE22" w:rsidR="000F3A81" w:rsidRDefault="000F3A81" w:rsidP="000F3A81">
      <w:pPr>
        <w:pStyle w:val="AD"/>
        <w:spacing w:line="276" w:lineRule="auto"/>
      </w:pPr>
      <w:r>
        <w:rPr>
          <w:rFonts w:hint="eastAsia"/>
        </w:rPr>
        <w:t xml:space="preserve">　　（十三）严厉打击涉虚拟货币犯罪活动。公安部部署全国公安机关继续深入开展“打击洗钱犯罪专项行动”“打击跨境赌博专项行动”“断卡行动”，依法严厉打击虚拟货币相关业务活动中的非法经营、金融诈骗等犯罪活动，利用虚拟货币实施的洗钱、赌博等犯罪活动和以虚拟货币为噱头的非法集资、传销等犯罪活动。</w:t>
      </w:r>
    </w:p>
    <w:p w14:paraId="0E1E9ABB" w14:textId="77777777" w:rsidR="00C53D18" w:rsidRDefault="00C53D18" w:rsidP="000F3A81">
      <w:pPr>
        <w:pStyle w:val="AD"/>
        <w:spacing w:line="276" w:lineRule="auto"/>
      </w:pPr>
    </w:p>
    <w:p w14:paraId="3CBE44D9" w14:textId="16747E51" w:rsidR="000F3A81" w:rsidRDefault="000F3A81" w:rsidP="000F3A81">
      <w:pPr>
        <w:pStyle w:val="AD"/>
        <w:spacing w:line="276" w:lineRule="auto"/>
      </w:pPr>
      <w:r>
        <w:rPr>
          <w:rFonts w:hint="eastAsia"/>
        </w:rPr>
        <w:t xml:space="preserve">　　（十四）加强行业自律管理。中国互联网金融协会、中国支付清算协会、中国银行业协会加强会员管理和政策宣传，倡导和督促会员单位抵制虚拟货币相关非法金融活动，对违反监管政策和行业自律规则的会员单位，依照有关自律管理规定予以惩戒。依托各类行业基础设施开展虚拟货币交易炒作风险监测，及时向有关部门移送问题线索。</w:t>
      </w:r>
    </w:p>
    <w:p w14:paraId="1B134A6B" w14:textId="77777777" w:rsidR="00C53D18" w:rsidRDefault="00C53D18" w:rsidP="000F3A81">
      <w:pPr>
        <w:pStyle w:val="AD"/>
        <w:spacing w:line="276" w:lineRule="auto"/>
      </w:pPr>
    </w:p>
    <w:p w14:paraId="6A640E53" w14:textId="4722BF57" w:rsidR="000F3A81" w:rsidRDefault="000F3A81" w:rsidP="000F3A81">
      <w:pPr>
        <w:pStyle w:val="AD"/>
        <w:spacing w:line="276" w:lineRule="auto"/>
      </w:pPr>
      <w:r>
        <w:rPr>
          <w:rFonts w:hint="eastAsia"/>
        </w:rPr>
        <w:t xml:space="preserve">　　五、强化组织实施</w:t>
      </w:r>
    </w:p>
    <w:p w14:paraId="709AF296" w14:textId="77777777" w:rsidR="00C53D18" w:rsidRDefault="00C53D18" w:rsidP="000F3A81">
      <w:pPr>
        <w:pStyle w:val="AD"/>
        <w:spacing w:line="276" w:lineRule="auto"/>
      </w:pPr>
    </w:p>
    <w:p w14:paraId="1B8669A9" w14:textId="4E1AAE3B" w:rsidR="000F3A81" w:rsidRDefault="000F3A81" w:rsidP="000F3A81">
      <w:pPr>
        <w:pStyle w:val="AD"/>
        <w:spacing w:line="276" w:lineRule="auto"/>
      </w:pPr>
      <w:r>
        <w:rPr>
          <w:rFonts w:hint="eastAsia"/>
        </w:rPr>
        <w:t xml:space="preserve">　　（十五）加强组织领导和统筹协调。各部门、各地区要高度重视应对虚拟货币交易炒作风险工作，加强组织领导，明确工作责任，形成中央统筹、属地实施、条块结合、共同负责的长效工作机制，保持高压态势，动态监测风险，采取有力措施，防范化解风险，依法保护人民群众财产安全，全力维护经济金融秩序和社会稳定。</w:t>
      </w:r>
    </w:p>
    <w:p w14:paraId="1618ACC7" w14:textId="77777777" w:rsidR="00C53D18" w:rsidRDefault="00C53D18" w:rsidP="00C53D18">
      <w:pPr>
        <w:pStyle w:val="AD"/>
        <w:spacing w:line="276" w:lineRule="auto"/>
      </w:pPr>
    </w:p>
    <w:p w14:paraId="0E903444" w14:textId="0DCD3FE3" w:rsidR="000F3A81" w:rsidRDefault="00C53D18" w:rsidP="00C53D18">
      <w:pPr>
        <w:pStyle w:val="AD"/>
        <w:spacing w:line="276" w:lineRule="auto"/>
      </w:pPr>
      <w:r>
        <w:rPr>
          <w:rFonts w:hint="eastAsia"/>
        </w:rPr>
        <w:t xml:space="preserve">　　</w:t>
      </w:r>
      <w:r w:rsidR="000F3A81">
        <w:rPr>
          <w:rFonts w:hint="eastAsia"/>
        </w:rPr>
        <w:t>（十六）加强政策解读和宣传教育。各部门、各地区及行业协会要充分运用各类媒体等传播渠道，通过法律政策解读、典型案例剖析、投资风险教育等方式，向社会公众宣传虚拟货币炒作等相关业务活动的违法性、危害性及其表现形式等，增强社会公众风险防范意识。</w:t>
      </w:r>
    </w:p>
    <w:p w14:paraId="592F9391" w14:textId="77777777" w:rsidR="000F3A81" w:rsidRDefault="000F3A81" w:rsidP="000F3A81">
      <w:pPr>
        <w:pStyle w:val="AD"/>
        <w:spacing w:line="276" w:lineRule="auto"/>
        <w:ind w:firstLine="432"/>
      </w:pPr>
    </w:p>
    <w:p w14:paraId="4D31CD33" w14:textId="77777777" w:rsidR="000F3A81" w:rsidRDefault="000F3A81" w:rsidP="000F3A81">
      <w:pPr>
        <w:pStyle w:val="AD"/>
        <w:spacing w:line="276" w:lineRule="auto"/>
        <w:jc w:val="right"/>
      </w:pPr>
      <w:r>
        <w:rPr>
          <w:rFonts w:hint="eastAsia"/>
        </w:rPr>
        <w:t xml:space="preserve">　　中国人民银行</w:t>
      </w:r>
    </w:p>
    <w:p w14:paraId="0A99F5B9" w14:textId="77777777" w:rsidR="000F3A81" w:rsidRDefault="000F3A81" w:rsidP="000F3A81">
      <w:pPr>
        <w:pStyle w:val="AD"/>
        <w:spacing w:line="276" w:lineRule="auto"/>
        <w:jc w:val="right"/>
      </w:pPr>
      <w:r>
        <w:rPr>
          <w:rFonts w:hint="eastAsia"/>
        </w:rPr>
        <w:t xml:space="preserve">　　</w:t>
      </w:r>
      <w:proofErr w:type="gramStart"/>
      <w:r>
        <w:rPr>
          <w:rFonts w:hint="eastAsia"/>
        </w:rPr>
        <w:t>中央网信办</w:t>
      </w:r>
      <w:proofErr w:type="gramEnd"/>
    </w:p>
    <w:p w14:paraId="4F7465AA" w14:textId="77777777" w:rsidR="000F3A81" w:rsidRDefault="000F3A81" w:rsidP="000F3A81">
      <w:pPr>
        <w:pStyle w:val="AD"/>
        <w:spacing w:line="276" w:lineRule="auto"/>
        <w:jc w:val="right"/>
      </w:pPr>
      <w:r>
        <w:rPr>
          <w:rFonts w:hint="eastAsia"/>
        </w:rPr>
        <w:t xml:space="preserve">　　最高人民法院</w:t>
      </w:r>
    </w:p>
    <w:p w14:paraId="3F6D1216" w14:textId="77777777" w:rsidR="000F3A81" w:rsidRDefault="000F3A81" w:rsidP="000F3A81">
      <w:pPr>
        <w:pStyle w:val="AD"/>
        <w:spacing w:line="276" w:lineRule="auto"/>
        <w:jc w:val="right"/>
      </w:pPr>
      <w:r>
        <w:rPr>
          <w:rFonts w:hint="eastAsia"/>
        </w:rPr>
        <w:t xml:space="preserve">　　最高人民检察院</w:t>
      </w:r>
    </w:p>
    <w:p w14:paraId="565B9BF9" w14:textId="77777777" w:rsidR="000F3A81" w:rsidRDefault="000F3A81" w:rsidP="000F3A81">
      <w:pPr>
        <w:pStyle w:val="AD"/>
        <w:spacing w:line="276" w:lineRule="auto"/>
        <w:jc w:val="right"/>
      </w:pPr>
      <w:r>
        <w:rPr>
          <w:rFonts w:hint="eastAsia"/>
        </w:rPr>
        <w:t xml:space="preserve">　　工业和信息化部</w:t>
      </w:r>
    </w:p>
    <w:p w14:paraId="137B9253" w14:textId="77777777" w:rsidR="000F3A81" w:rsidRDefault="000F3A81" w:rsidP="000F3A81">
      <w:pPr>
        <w:pStyle w:val="AD"/>
        <w:spacing w:line="276" w:lineRule="auto"/>
        <w:jc w:val="right"/>
      </w:pPr>
      <w:r>
        <w:rPr>
          <w:rFonts w:hint="eastAsia"/>
        </w:rPr>
        <w:t xml:space="preserve">　　公安部</w:t>
      </w:r>
    </w:p>
    <w:p w14:paraId="06A93F17" w14:textId="77777777" w:rsidR="000F3A81" w:rsidRDefault="000F3A81" w:rsidP="000F3A81">
      <w:pPr>
        <w:pStyle w:val="AD"/>
        <w:spacing w:line="276" w:lineRule="auto"/>
        <w:jc w:val="right"/>
      </w:pPr>
      <w:r>
        <w:rPr>
          <w:rFonts w:hint="eastAsia"/>
        </w:rPr>
        <w:t xml:space="preserve">　　市场监管总局</w:t>
      </w:r>
    </w:p>
    <w:p w14:paraId="25E60D07" w14:textId="77777777" w:rsidR="000F3A81" w:rsidRDefault="000F3A81" w:rsidP="000F3A81">
      <w:pPr>
        <w:pStyle w:val="AD"/>
        <w:spacing w:line="276" w:lineRule="auto"/>
        <w:jc w:val="right"/>
      </w:pPr>
      <w:r>
        <w:rPr>
          <w:rFonts w:hint="eastAsia"/>
        </w:rPr>
        <w:t xml:space="preserve">　　银保监会</w:t>
      </w:r>
    </w:p>
    <w:p w14:paraId="058E9DD0" w14:textId="77777777" w:rsidR="000F3A81" w:rsidRDefault="000F3A81" w:rsidP="000F3A81">
      <w:pPr>
        <w:pStyle w:val="AD"/>
        <w:spacing w:line="276" w:lineRule="auto"/>
        <w:jc w:val="right"/>
      </w:pPr>
      <w:r>
        <w:rPr>
          <w:rFonts w:hint="eastAsia"/>
        </w:rPr>
        <w:t xml:space="preserve">　　证监会</w:t>
      </w:r>
    </w:p>
    <w:p w14:paraId="4B48E6FD" w14:textId="77777777" w:rsidR="000F3A81" w:rsidRDefault="000F3A81" w:rsidP="000F3A81">
      <w:pPr>
        <w:pStyle w:val="AD"/>
        <w:spacing w:line="276" w:lineRule="auto"/>
        <w:jc w:val="right"/>
      </w:pPr>
      <w:r>
        <w:rPr>
          <w:rFonts w:hint="eastAsia"/>
        </w:rPr>
        <w:t xml:space="preserve">　　外汇局</w:t>
      </w:r>
    </w:p>
    <w:p w14:paraId="49139A33" w14:textId="4DF330F5" w:rsidR="00B15193" w:rsidRDefault="000F3A81" w:rsidP="000F3A81">
      <w:pPr>
        <w:pStyle w:val="AD"/>
        <w:spacing w:line="276" w:lineRule="auto"/>
        <w:jc w:val="right"/>
      </w:pPr>
      <w:r>
        <w:rPr>
          <w:rFonts w:hint="eastAsia"/>
        </w:rPr>
        <w:t xml:space="preserve">　　</w:t>
      </w:r>
      <w:r>
        <w:rPr>
          <w:rFonts w:hint="eastAsia"/>
        </w:rPr>
        <w:t>2021</w:t>
      </w:r>
      <w:r>
        <w:rPr>
          <w:rFonts w:hint="eastAsia"/>
        </w:rPr>
        <w:t>年</w:t>
      </w:r>
      <w:r>
        <w:rPr>
          <w:rFonts w:hint="eastAsia"/>
        </w:rPr>
        <w:t>9</w:t>
      </w:r>
      <w:r>
        <w:rPr>
          <w:rFonts w:hint="eastAsia"/>
        </w:rPr>
        <w:t>月</w:t>
      </w:r>
      <w:r>
        <w:rPr>
          <w:rFonts w:hint="eastAsia"/>
        </w:rPr>
        <w:t>15</w:t>
      </w:r>
      <w:r>
        <w:rPr>
          <w:rFonts w:hint="eastAsia"/>
        </w:rPr>
        <w:t>日</w:t>
      </w:r>
    </w:p>
    <w:p w14:paraId="05A9FDB3" w14:textId="65767592" w:rsidR="000F3A81" w:rsidRDefault="000F3A81" w:rsidP="000F3A81">
      <w:pPr>
        <w:pStyle w:val="AD"/>
        <w:spacing w:line="276" w:lineRule="auto"/>
      </w:pPr>
    </w:p>
    <w:p w14:paraId="0C894F10" w14:textId="0AAAD74E" w:rsidR="000F3A81" w:rsidRDefault="000F3A81" w:rsidP="000F3A81">
      <w:pPr>
        <w:pStyle w:val="AD"/>
        <w:spacing w:line="276" w:lineRule="auto"/>
      </w:pPr>
    </w:p>
    <w:p w14:paraId="5712918B" w14:textId="4451A3B6" w:rsidR="000F3A81" w:rsidRDefault="000F3A81" w:rsidP="000F3A81">
      <w:pPr>
        <w:pStyle w:val="AD"/>
        <w:spacing w:line="276" w:lineRule="auto"/>
      </w:pPr>
      <w:r>
        <w:rPr>
          <w:rFonts w:hint="eastAsia"/>
        </w:rPr>
        <w:t>信息来源：</w:t>
      </w:r>
      <w:hyperlink r:id="rId6" w:history="1">
        <w:r w:rsidRPr="00A5082E">
          <w:rPr>
            <w:rStyle w:val="a9"/>
          </w:rPr>
          <w:t>http://www.pbc.gov.cn/tiaofasi/144941/3581332/4348658/index.html</w:t>
        </w:r>
      </w:hyperlink>
    </w:p>
    <w:p w14:paraId="580D84A0" w14:textId="77777777" w:rsidR="000F3A81" w:rsidRPr="000F3A81" w:rsidRDefault="000F3A81" w:rsidP="000F3A81">
      <w:pPr>
        <w:pStyle w:val="AD"/>
        <w:spacing w:line="276" w:lineRule="auto"/>
      </w:pPr>
    </w:p>
    <w:sectPr w:rsidR="000F3A81" w:rsidRPr="000F3A8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24C5" w14:textId="77777777" w:rsidR="00CC4A9D" w:rsidRDefault="00CC4A9D" w:rsidP="00C20A6A">
      <w:pPr>
        <w:spacing w:line="240" w:lineRule="auto"/>
      </w:pPr>
      <w:r>
        <w:separator/>
      </w:r>
    </w:p>
  </w:endnote>
  <w:endnote w:type="continuationSeparator" w:id="0">
    <w:p w14:paraId="30C55099" w14:textId="77777777" w:rsidR="00CC4A9D" w:rsidRDefault="00CC4A9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805E0" w14:textId="77777777" w:rsidR="00CC4A9D" w:rsidRDefault="00CC4A9D" w:rsidP="00C20A6A">
      <w:pPr>
        <w:spacing w:line="240" w:lineRule="auto"/>
      </w:pPr>
      <w:r>
        <w:separator/>
      </w:r>
    </w:p>
  </w:footnote>
  <w:footnote w:type="continuationSeparator" w:id="0">
    <w:p w14:paraId="70942D7F" w14:textId="77777777" w:rsidR="00CC4A9D" w:rsidRDefault="00CC4A9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A3B73"/>
    <w:rsid w:val="000F3A81"/>
    <w:rsid w:val="000F4C6A"/>
    <w:rsid w:val="00176A25"/>
    <w:rsid w:val="001C4C6F"/>
    <w:rsid w:val="003D27E2"/>
    <w:rsid w:val="005F7C76"/>
    <w:rsid w:val="006A3B73"/>
    <w:rsid w:val="007D7BDB"/>
    <w:rsid w:val="00A548E7"/>
    <w:rsid w:val="00B15193"/>
    <w:rsid w:val="00B731F1"/>
    <w:rsid w:val="00C20A6A"/>
    <w:rsid w:val="00C22624"/>
    <w:rsid w:val="00C53D18"/>
    <w:rsid w:val="00CC4A9D"/>
    <w:rsid w:val="00D02718"/>
    <w:rsid w:val="00DB61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FE5442"/>
  <w15:chartTrackingRefBased/>
  <w15:docId w15:val="{7173F19F-E4A8-4FB0-AB66-15431985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F3A81"/>
    <w:pPr>
      <w:ind w:leftChars="2500" w:left="100"/>
    </w:pPr>
  </w:style>
  <w:style w:type="character" w:customStyle="1" w:styleId="a8">
    <w:name w:val="日期 字符"/>
    <w:basedOn w:val="a0"/>
    <w:link w:val="a7"/>
    <w:uiPriority w:val="99"/>
    <w:semiHidden/>
    <w:rsid w:val="000F3A81"/>
    <w:rPr>
      <w:rFonts w:ascii="Arial" w:eastAsia="宋体" w:hAnsi="Arial"/>
      <w:sz w:val="22"/>
    </w:rPr>
  </w:style>
  <w:style w:type="character" w:styleId="a9">
    <w:name w:val="Hyperlink"/>
    <w:basedOn w:val="a0"/>
    <w:uiPriority w:val="99"/>
    <w:unhideWhenUsed/>
    <w:rsid w:val="000F3A81"/>
    <w:rPr>
      <w:color w:val="0000FF" w:themeColor="hyperlink"/>
      <w:u w:val="single"/>
    </w:rPr>
  </w:style>
  <w:style w:type="character" w:styleId="aa">
    <w:name w:val="Unresolved Mention"/>
    <w:basedOn w:val="a0"/>
    <w:uiPriority w:val="99"/>
    <w:semiHidden/>
    <w:unhideWhenUsed/>
    <w:rsid w:val="000F3A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3581332/4348658/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2021-10-13T02:55:00Z</dcterms:created>
  <dcterms:modified xsi:type="dcterms:W3CDTF">2021-10-15T02:55:00Z</dcterms:modified>
</cp:coreProperties>
</file>