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3110" w14:textId="2C90CCFE" w:rsidR="00E7449B" w:rsidRPr="00E7449B" w:rsidRDefault="00E7449B" w:rsidP="00E7449B">
      <w:pPr>
        <w:pStyle w:val="AD"/>
        <w:spacing w:line="276" w:lineRule="auto"/>
        <w:jc w:val="center"/>
        <w:rPr>
          <w:b/>
          <w:bCs/>
          <w:color w:val="E36C0A" w:themeColor="accent6" w:themeShade="BF"/>
          <w:sz w:val="32"/>
          <w:szCs w:val="32"/>
        </w:rPr>
      </w:pPr>
      <w:r w:rsidRPr="00E7449B">
        <w:rPr>
          <w:rFonts w:hint="eastAsia"/>
          <w:b/>
          <w:bCs/>
          <w:color w:val="E36C0A" w:themeColor="accent6" w:themeShade="BF"/>
          <w:sz w:val="32"/>
          <w:szCs w:val="32"/>
        </w:rPr>
        <w:t>关于整治虚拟货币“挖矿”活动的通知</w:t>
      </w:r>
    </w:p>
    <w:p w14:paraId="7CC106E3" w14:textId="77777777" w:rsidR="00E7449B" w:rsidRDefault="00E7449B" w:rsidP="00E7449B">
      <w:pPr>
        <w:pStyle w:val="AD"/>
        <w:spacing w:line="276" w:lineRule="auto"/>
        <w:jc w:val="center"/>
      </w:pPr>
      <w:r>
        <w:rPr>
          <w:rFonts w:hint="eastAsia"/>
        </w:rPr>
        <w:t>发改运行〔</w:t>
      </w:r>
      <w:r>
        <w:rPr>
          <w:rFonts w:hint="eastAsia"/>
        </w:rPr>
        <w:t>2021</w:t>
      </w:r>
      <w:r>
        <w:rPr>
          <w:rFonts w:hint="eastAsia"/>
        </w:rPr>
        <w:t>〕</w:t>
      </w:r>
      <w:r>
        <w:rPr>
          <w:rFonts w:hint="eastAsia"/>
        </w:rPr>
        <w:t>1283</w:t>
      </w:r>
      <w:r>
        <w:rPr>
          <w:rFonts w:hint="eastAsia"/>
        </w:rPr>
        <w:t>号</w:t>
      </w:r>
    </w:p>
    <w:p w14:paraId="14322496" w14:textId="77777777" w:rsidR="00E7449B" w:rsidRDefault="00E7449B" w:rsidP="00E7449B">
      <w:pPr>
        <w:pStyle w:val="AD"/>
        <w:spacing w:line="276" w:lineRule="auto"/>
      </w:pPr>
    </w:p>
    <w:p w14:paraId="62B24B1B" w14:textId="52A5F6BC" w:rsidR="00E7449B" w:rsidRDefault="00E7449B" w:rsidP="00E7449B">
      <w:pPr>
        <w:pStyle w:val="AD"/>
        <w:spacing w:line="276" w:lineRule="auto"/>
      </w:pPr>
      <w:r>
        <w:rPr>
          <w:rFonts w:hint="eastAsia"/>
        </w:rPr>
        <w:t>各省、自治区、直辖市人民政府，新疆生产建设兵团：</w:t>
      </w:r>
    </w:p>
    <w:p w14:paraId="43F77957" w14:textId="77777777" w:rsidR="00D308B4" w:rsidRDefault="00D308B4" w:rsidP="00E7449B">
      <w:pPr>
        <w:pStyle w:val="AD"/>
        <w:spacing w:line="276" w:lineRule="auto"/>
      </w:pPr>
    </w:p>
    <w:p w14:paraId="6CF848FC" w14:textId="77777777" w:rsidR="00E7449B" w:rsidRDefault="00E7449B" w:rsidP="00E7449B">
      <w:pPr>
        <w:pStyle w:val="AD"/>
        <w:spacing w:line="276" w:lineRule="auto"/>
      </w:pPr>
      <w:r>
        <w:t>  </w:t>
      </w:r>
      <w:r>
        <w:rPr>
          <w:rFonts w:hint="eastAsia"/>
        </w:rPr>
        <w:t>为有效防范处置虚拟货币“挖矿”活动盲目无序发展带来的风险隐患，深入推进节能减排，助力如期实现碳达峰、碳中和目标，现就整治虚拟货币“挖矿”活动有关事项通知如下：</w:t>
      </w:r>
    </w:p>
    <w:p w14:paraId="4A4B18B3" w14:textId="77777777" w:rsidR="00C34160" w:rsidRDefault="00C34160" w:rsidP="00E7449B">
      <w:pPr>
        <w:pStyle w:val="AD"/>
        <w:spacing w:line="276" w:lineRule="auto"/>
      </w:pPr>
    </w:p>
    <w:p w14:paraId="0C14E742" w14:textId="48003055" w:rsidR="00E7449B" w:rsidRDefault="00E7449B" w:rsidP="00E7449B">
      <w:pPr>
        <w:pStyle w:val="AD"/>
        <w:spacing w:line="276" w:lineRule="auto"/>
      </w:pPr>
      <w:r>
        <w:t>  </w:t>
      </w:r>
      <w:r>
        <w:rPr>
          <w:rFonts w:hint="eastAsia"/>
        </w:rPr>
        <w:t>一、充分认识整治虚拟货币“挖矿”活动的重要意义</w:t>
      </w:r>
    </w:p>
    <w:p w14:paraId="0BFDF11B" w14:textId="77777777" w:rsidR="00C34160" w:rsidRDefault="00C34160" w:rsidP="00E7449B">
      <w:pPr>
        <w:pStyle w:val="AD"/>
        <w:spacing w:line="276" w:lineRule="auto"/>
      </w:pPr>
    </w:p>
    <w:p w14:paraId="18F87E42" w14:textId="3DFF737A" w:rsidR="00E7449B" w:rsidRDefault="00E7449B" w:rsidP="00E7449B">
      <w:pPr>
        <w:pStyle w:val="AD"/>
        <w:spacing w:line="276" w:lineRule="auto"/>
      </w:pPr>
      <w:r>
        <w:t>  </w:t>
      </w:r>
      <w:r>
        <w:rPr>
          <w:rFonts w:hint="eastAsia"/>
        </w:rPr>
        <w:t>虚拟货币“挖矿”活动指通过专用“矿机”计算生产虚拟货币的过程，能源消耗和碳排放量大，对国民经济贡献度低，对产业发展、科技进步等带动作用有限，加之虚拟货币生产、交易环节衍生的风险越发突出，其盲目无序发展对推动经济社会高质量发展和节能减排带来不利影响。整治虚拟货币“挖矿”活动对促进我国产业结构优化、推动节能减排、如期实现碳达峰、碳中和目标具有重要意义。各地区、各部门和有关企业要高度重视，充分认识整治虚拟货币“挖矿”活动的必要性和重要性，切实把整治虚拟货币“挖矿”活动作为促进经济社会高质量发展的一项重要任务，进一步增强责任感和紧迫感，抓住关键环节，采取有效措施，全面整治虚拟货币“挖矿”活动，确保取得实际成效。</w:t>
      </w:r>
    </w:p>
    <w:p w14:paraId="2112BB7A" w14:textId="77777777" w:rsidR="00C34160" w:rsidRDefault="00C34160" w:rsidP="00E7449B">
      <w:pPr>
        <w:pStyle w:val="AD"/>
        <w:spacing w:line="276" w:lineRule="auto"/>
      </w:pPr>
    </w:p>
    <w:p w14:paraId="1010750F" w14:textId="28174DDC" w:rsidR="00E7449B" w:rsidRDefault="00E7449B" w:rsidP="00E7449B">
      <w:pPr>
        <w:pStyle w:val="AD"/>
        <w:spacing w:line="276" w:lineRule="auto"/>
      </w:pPr>
      <w:r>
        <w:t>  </w:t>
      </w:r>
      <w:r>
        <w:rPr>
          <w:rFonts w:hint="eastAsia"/>
        </w:rPr>
        <w:t>二、总体要求</w:t>
      </w:r>
    </w:p>
    <w:p w14:paraId="63A85548" w14:textId="77777777" w:rsidR="00C34160" w:rsidRDefault="00C34160" w:rsidP="00E7449B">
      <w:pPr>
        <w:pStyle w:val="AD"/>
        <w:spacing w:line="276" w:lineRule="auto"/>
      </w:pPr>
    </w:p>
    <w:p w14:paraId="62677413" w14:textId="66AF06E4" w:rsidR="00E7449B" w:rsidRDefault="00E7449B" w:rsidP="00E7449B">
      <w:pPr>
        <w:pStyle w:val="AD"/>
        <w:spacing w:line="276" w:lineRule="auto"/>
      </w:pPr>
      <w:r>
        <w:t>  </w:t>
      </w:r>
      <w:r>
        <w:rPr>
          <w:rFonts w:hint="eastAsia"/>
        </w:rPr>
        <w:t>（一）指导思想。以习近平新时代中国特色社会主义思想为指导，全面贯彻党的十九大和十九届二中、三中、四中、五中全会精神，深入贯彻习近平生态文明思想，坚定不移贯彻新发展理念，按照“严密监测、严防风险、严禁增量、妥处存量”的总体思路，充分发挥各地区、各部门合力，加强虚拟货币“挖矿”活动上下游全产业链监管，严禁新增虚拟货币“挖矿”项目，加快存量项目有序退出，促进产业结构优化和助力碳达峰、碳中和目标如期实现。</w:t>
      </w:r>
    </w:p>
    <w:p w14:paraId="69F4AD9F" w14:textId="77777777" w:rsidR="00C34160" w:rsidRDefault="00C34160" w:rsidP="00E7449B">
      <w:pPr>
        <w:pStyle w:val="AD"/>
        <w:spacing w:line="276" w:lineRule="auto"/>
      </w:pPr>
    </w:p>
    <w:p w14:paraId="35DCDC83" w14:textId="4BDCA00B" w:rsidR="00E7449B" w:rsidRDefault="00E7449B" w:rsidP="00E7449B">
      <w:pPr>
        <w:pStyle w:val="AD"/>
        <w:spacing w:line="276" w:lineRule="auto"/>
      </w:pPr>
      <w:r>
        <w:t>  </w:t>
      </w:r>
      <w:r>
        <w:rPr>
          <w:rFonts w:hint="eastAsia"/>
        </w:rPr>
        <w:t>（二）基本原则。</w:t>
      </w:r>
    </w:p>
    <w:p w14:paraId="522D25C7" w14:textId="77777777" w:rsidR="00C34160" w:rsidRDefault="00C34160" w:rsidP="00E7449B">
      <w:pPr>
        <w:pStyle w:val="AD"/>
        <w:spacing w:line="276" w:lineRule="auto"/>
      </w:pPr>
    </w:p>
    <w:p w14:paraId="75045EBC" w14:textId="6AB58E9E" w:rsidR="00E7449B" w:rsidRDefault="00E7449B" w:rsidP="00E7449B">
      <w:pPr>
        <w:pStyle w:val="AD"/>
        <w:spacing w:line="276" w:lineRule="auto"/>
      </w:pPr>
      <w:r>
        <w:t>  </w:t>
      </w:r>
      <w:r>
        <w:rPr>
          <w:rFonts w:hint="eastAsia"/>
        </w:rPr>
        <w:t>坚持分级负责。建立中央统筹、省负总责、市县落实的工作机制。中央统筹全国虚拟货币“挖矿”活动整治整体推进工作；省级政府对本区域范围的整治工作负总责，并压实市县政府落实责任，按照中央统一安排明确具体实施方案；市县政府按照中央部署和省级政府实施方案要求，细化落实举措，保证落实到位。</w:t>
      </w:r>
    </w:p>
    <w:p w14:paraId="46B4B24E" w14:textId="77777777" w:rsidR="00C34160" w:rsidRDefault="00C34160" w:rsidP="00E7449B">
      <w:pPr>
        <w:pStyle w:val="AD"/>
        <w:spacing w:line="276" w:lineRule="auto"/>
      </w:pPr>
    </w:p>
    <w:p w14:paraId="43B347A2" w14:textId="290F3017" w:rsidR="00E7449B" w:rsidRDefault="00E7449B" w:rsidP="00E7449B">
      <w:pPr>
        <w:pStyle w:val="AD"/>
        <w:spacing w:line="276" w:lineRule="auto"/>
      </w:pPr>
      <w:r>
        <w:t>  </w:t>
      </w:r>
      <w:r>
        <w:rPr>
          <w:rFonts w:hint="eastAsia"/>
        </w:rPr>
        <w:t>坚持分类处理。区分虚拟货币“挖矿”增量和存量项目。严禁投资建设增量项目，禁止以任何名义发展虚拟货币“挖矿”项目；加快有序退出存量项目，在保证平稳过渡的前提下，结合各地实际情况科学确定退出时间表和实施路径。</w:t>
      </w:r>
    </w:p>
    <w:p w14:paraId="4FACA090" w14:textId="77777777" w:rsidR="00C34160" w:rsidRDefault="00C34160" w:rsidP="00E7449B">
      <w:pPr>
        <w:pStyle w:val="AD"/>
        <w:spacing w:line="276" w:lineRule="auto"/>
      </w:pPr>
    </w:p>
    <w:p w14:paraId="4FCFFD13" w14:textId="1D292CE9" w:rsidR="00E7449B" w:rsidRDefault="00E7449B" w:rsidP="00E7449B">
      <w:pPr>
        <w:pStyle w:val="AD"/>
        <w:spacing w:line="276" w:lineRule="auto"/>
      </w:pPr>
      <w:r>
        <w:t>  </w:t>
      </w:r>
      <w:r>
        <w:rPr>
          <w:rFonts w:hint="eastAsia"/>
        </w:rPr>
        <w:t>坚持依法依规。运用法治思维和法治方式全面推进虚拟货币“挖矿”活动整治工作，严格</w:t>
      </w:r>
      <w:r>
        <w:rPr>
          <w:rFonts w:hint="eastAsia"/>
        </w:rPr>
        <w:lastRenderedPageBreak/>
        <w:t>执行有关法律法规和规章制度，严肃查处整治各地违规虚拟货币“挖矿”活动。</w:t>
      </w:r>
    </w:p>
    <w:p w14:paraId="75EB04CF" w14:textId="77777777" w:rsidR="00C34160" w:rsidRDefault="00C34160" w:rsidP="00E7449B">
      <w:pPr>
        <w:pStyle w:val="AD"/>
        <w:spacing w:line="276" w:lineRule="auto"/>
      </w:pPr>
    </w:p>
    <w:p w14:paraId="792C98F7" w14:textId="2C989DD0" w:rsidR="00E7449B" w:rsidRDefault="00E7449B" w:rsidP="00E7449B">
      <w:pPr>
        <w:pStyle w:val="AD"/>
        <w:spacing w:line="276" w:lineRule="auto"/>
      </w:pPr>
      <w:r>
        <w:t>  </w:t>
      </w:r>
      <w:r>
        <w:rPr>
          <w:rFonts w:hint="eastAsia"/>
        </w:rPr>
        <w:t>坚持积极稳妥。在整治虚拟货币“挖矿”活动推进过程中，要积极作为、稳妥推进，既实现加快退出，又妥善化解矛盾纠纷，确保社会稳定。</w:t>
      </w:r>
    </w:p>
    <w:p w14:paraId="13A8F4E5" w14:textId="77777777" w:rsidR="00C34160" w:rsidRDefault="00C34160" w:rsidP="00E7449B">
      <w:pPr>
        <w:pStyle w:val="AD"/>
        <w:spacing w:line="276" w:lineRule="auto"/>
      </w:pPr>
    </w:p>
    <w:p w14:paraId="3EF53E7B" w14:textId="542467A5" w:rsidR="00E7449B" w:rsidRDefault="00E7449B" w:rsidP="00E7449B">
      <w:pPr>
        <w:pStyle w:val="AD"/>
        <w:spacing w:line="276" w:lineRule="auto"/>
      </w:pPr>
      <w:r>
        <w:t>  </w:t>
      </w:r>
      <w:r>
        <w:rPr>
          <w:rFonts w:hint="eastAsia"/>
        </w:rPr>
        <w:t>三、全面梳理排查虚拟货币“挖矿”项目</w:t>
      </w:r>
    </w:p>
    <w:p w14:paraId="2C87A657" w14:textId="77777777" w:rsidR="00C34160" w:rsidRDefault="00C34160" w:rsidP="00E7449B">
      <w:pPr>
        <w:pStyle w:val="AD"/>
        <w:spacing w:line="276" w:lineRule="auto"/>
      </w:pPr>
    </w:p>
    <w:p w14:paraId="616ACD2C" w14:textId="53C7A166" w:rsidR="00E7449B" w:rsidRDefault="00E7449B" w:rsidP="00E7449B">
      <w:pPr>
        <w:pStyle w:val="AD"/>
        <w:spacing w:line="276" w:lineRule="auto"/>
      </w:pPr>
      <w:r>
        <w:t>  </w:t>
      </w:r>
      <w:r>
        <w:rPr>
          <w:rFonts w:hint="eastAsia"/>
        </w:rPr>
        <w:t>（三）梳理排查存量项目。全面摸排本地已投产运行的虚拟货币“挖矿”项目，建立项目清单，对在运的虚拟货币“挖矿”项目逐一梳理所属企业、规模、算力、耗电量等基础数据，每周实时动态更新。对大数据产业园、高技术园区内是否存在虚拟货币“挖矿”活动进行全面排查，精准区分数据中心与虚拟货币“矿场”，保证本地虚拟货币“挖矿”排查工作不留空白。</w:t>
      </w:r>
    </w:p>
    <w:p w14:paraId="3DDFBB46" w14:textId="77777777" w:rsidR="00C34160" w:rsidRDefault="00C34160" w:rsidP="00E7449B">
      <w:pPr>
        <w:pStyle w:val="AD"/>
        <w:spacing w:line="276" w:lineRule="auto"/>
      </w:pPr>
    </w:p>
    <w:p w14:paraId="594DFEAE" w14:textId="6B051ABD" w:rsidR="00E7449B" w:rsidRDefault="00E7449B" w:rsidP="00E7449B">
      <w:pPr>
        <w:pStyle w:val="AD"/>
        <w:spacing w:line="276" w:lineRule="auto"/>
      </w:pPr>
      <w:r>
        <w:t>  </w:t>
      </w:r>
      <w:r>
        <w:rPr>
          <w:rFonts w:hint="eastAsia"/>
        </w:rPr>
        <w:t>（四）梳理排查在建新增项目。在虚拟货币“挖矿”项目前期工作各个环节中加大排查力度，对正在建设或准备建设的虚拟货币“挖矿”项目建立清单，逐一梳理所属企业、规模、算力、耗电量、计划投产时间等基础信息。在节能审查、用电报装申请等环节加大甄别力度，保证梳理排查数据真实全面。</w:t>
      </w:r>
    </w:p>
    <w:p w14:paraId="2D8E3543" w14:textId="77777777" w:rsidR="00C34160" w:rsidRDefault="00C34160" w:rsidP="00E7449B">
      <w:pPr>
        <w:pStyle w:val="AD"/>
        <w:spacing w:line="276" w:lineRule="auto"/>
      </w:pPr>
    </w:p>
    <w:p w14:paraId="2030300E" w14:textId="4B203496" w:rsidR="00E7449B" w:rsidRDefault="00E7449B" w:rsidP="00E7449B">
      <w:pPr>
        <w:pStyle w:val="AD"/>
        <w:spacing w:line="276" w:lineRule="auto"/>
      </w:pPr>
      <w:r>
        <w:t>  </w:t>
      </w:r>
      <w:r>
        <w:rPr>
          <w:rFonts w:hint="eastAsia"/>
        </w:rPr>
        <w:t>（五）加强异常用电监测分析。进一步开展并网发电数据、异常用电数据分析，运用技术手段监测监控，加强数据中心用电大户现场检查。加大对除来水、调度等系统原因以外的并网电厂降负荷数据监控力度，防止公用并网电厂拉专线直供虚拟货币“挖矿”企业。对发现的非法供电行为，及时向有关监管部门报告。</w:t>
      </w:r>
    </w:p>
    <w:p w14:paraId="21399319" w14:textId="77777777" w:rsidR="00C34160" w:rsidRDefault="00C34160" w:rsidP="00E7449B">
      <w:pPr>
        <w:pStyle w:val="AD"/>
        <w:spacing w:line="276" w:lineRule="auto"/>
      </w:pPr>
    </w:p>
    <w:p w14:paraId="73B05091" w14:textId="439E0BDA" w:rsidR="00E7449B" w:rsidRDefault="00E7449B" w:rsidP="00E7449B">
      <w:pPr>
        <w:pStyle w:val="AD"/>
        <w:spacing w:line="276" w:lineRule="auto"/>
      </w:pPr>
      <w:r>
        <w:t>  </w:t>
      </w:r>
      <w:r>
        <w:rPr>
          <w:rFonts w:hint="eastAsia"/>
        </w:rPr>
        <w:t>四、严禁新增项目投资建设</w:t>
      </w:r>
    </w:p>
    <w:p w14:paraId="277800F7" w14:textId="77777777" w:rsidR="00C34160" w:rsidRDefault="00C34160" w:rsidP="00E7449B">
      <w:pPr>
        <w:pStyle w:val="AD"/>
        <w:spacing w:line="276" w:lineRule="auto"/>
      </w:pPr>
    </w:p>
    <w:p w14:paraId="4E0FAF74" w14:textId="38CCE4F3" w:rsidR="00E7449B" w:rsidRDefault="00E7449B" w:rsidP="00E7449B">
      <w:pPr>
        <w:pStyle w:val="AD"/>
        <w:spacing w:line="276" w:lineRule="auto"/>
      </w:pPr>
      <w:r>
        <w:t>  </w:t>
      </w:r>
      <w:r>
        <w:rPr>
          <w:rFonts w:hint="eastAsia"/>
        </w:rPr>
        <w:t>（六）强化新增虚拟货币“挖矿”项目能耗双控约束。将严禁新增虚拟货币“挖矿”项目纳入能耗双控考核体系，严格落实地方政府能耗管控责任，对发现并查实新增虚拟货币“挖矿”项目的地区，在能耗双控考核中，按新增项目能耗量加倍计算能源消费量。</w:t>
      </w:r>
    </w:p>
    <w:p w14:paraId="7651D236" w14:textId="77777777" w:rsidR="00C34160" w:rsidRDefault="00C34160" w:rsidP="00E7449B">
      <w:pPr>
        <w:pStyle w:val="AD"/>
        <w:spacing w:line="276" w:lineRule="auto"/>
      </w:pPr>
    </w:p>
    <w:p w14:paraId="4ACADAD1" w14:textId="41C9D088" w:rsidR="00E7449B" w:rsidRDefault="00E7449B" w:rsidP="00E7449B">
      <w:pPr>
        <w:pStyle w:val="AD"/>
        <w:spacing w:line="276" w:lineRule="auto"/>
      </w:pPr>
      <w:r>
        <w:t>  </w:t>
      </w:r>
      <w:r>
        <w:rPr>
          <w:rFonts w:hint="eastAsia"/>
        </w:rPr>
        <w:t>（七）将虚拟货币“挖矿”活动列为淘汰类产业。将“虚拟货币‘挖矿’活动”增补列入《产业结构调整指导目录（</w:t>
      </w:r>
      <w:r>
        <w:t>2019</w:t>
      </w:r>
      <w:r>
        <w:rPr>
          <w:rFonts w:hint="eastAsia"/>
        </w:rPr>
        <w:t>年本）》“淘汰类”。在增补列入前，将虚拟货币“挖矿”项目视同淘汰类产业处理，按照《国务院关于发布实施</w:t>
      </w:r>
      <w:r>
        <w:t>&lt;</w:t>
      </w:r>
      <w:r>
        <w:rPr>
          <w:rFonts w:hint="eastAsia"/>
        </w:rPr>
        <w:t>促进产业结构调整暂行规定</w:t>
      </w:r>
      <w:r>
        <w:t>&gt;</w:t>
      </w:r>
      <w:r>
        <w:rPr>
          <w:rFonts w:hint="eastAsia"/>
        </w:rPr>
        <w:t>的决定》（国发﹝</w:t>
      </w:r>
      <w:r>
        <w:t>2005</w:t>
      </w:r>
      <w:r>
        <w:rPr>
          <w:rFonts w:hint="eastAsia"/>
        </w:rPr>
        <w:t>﹞</w:t>
      </w:r>
      <w:r>
        <w:t>40</w:t>
      </w:r>
      <w:r>
        <w:rPr>
          <w:rFonts w:hint="eastAsia"/>
        </w:rPr>
        <w:t>号）有关规定禁止投资。</w:t>
      </w:r>
    </w:p>
    <w:p w14:paraId="0DB01C40" w14:textId="77777777" w:rsidR="00C34160" w:rsidRDefault="00C34160" w:rsidP="00E7449B">
      <w:pPr>
        <w:pStyle w:val="AD"/>
        <w:spacing w:line="276" w:lineRule="auto"/>
      </w:pPr>
    </w:p>
    <w:p w14:paraId="6339706C" w14:textId="3BFA5588" w:rsidR="00E7449B" w:rsidRDefault="00E7449B" w:rsidP="00E7449B">
      <w:pPr>
        <w:pStyle w:val="AD"/>
        <w:spacing w:line="276" w:lineRule="auto"/>
      </w:pPr>
      <w:r>
        <w:t>  </w:t>
      </w:r>
      <w:r>
        <w:rPr>
          <w:rFonts w:hint="eastAsia"/>
        </w:rPr>
        <w:t>（八）严禁以数据中心名义开展虚拟货币“挖矿”活动。强化虚拟货币“挖矿”活动监管调查，明确区分“挖矿”与区块链、大数据、云计算等产业界限，引导相关企业发展资源消耗低、附加价值高的高技术产业，严禁利用数据中心开展虚拟货币“挖矿”活动，禁止以发展数字经济、战略性新兴产业等名义宣传、扩大虚拟货币“挖矿”项目。</w:t>
      </w:r>
    </w:p>
    <w:p w14:paraId="67F63D56" w14:textId="77777777" w:rsidR="00C34160" w:rsidRDefault="00C34160" w:rsidP="00E7449B">
      <w:pPr>
        <w:pStyle w:val="AD"/>
        <w:spacing w:line="276" w:lineRule="auto"/>
      </w:pPr>
    </w:p>
    <w:p w14:paraId="2D9AB9AD" w14:textId="38386E8F" w:rsidR="00E7449B" w:rsidRDefault="00E7449B" w:rsidP="00E7449B">
      <w:pPr>
        <w:pStyle w:val="AD"/>
        <w:spacing w:line="276" w:lineRule="auto"/>
      </w:pPr>
      <w:r>
        <w:t>  </w:t>
      </w:r>
      <w:r>
        <w:rPr>
          <w:rFonts w:hint="eastAsia"/>
        </w:rPr>
        <w:t>（九）加强数据中心类企业信用监管。对数据中心类企业开展信用监管，实施信用承诺制，</w:t>
      </w:r>
      <w:r>
        <w:rPr>
          <w:rFonts w:hint="eastAsia"/>
        </w:rPr>
        <w:lastRenderedPageBreak/>
        <w:t>组织签署信用承诺书，自主承诺不参与虚拟货币“挖矿”活动。依托各级信用信息共享平台将企业承诺内容以及承诺履行情况纳入信用记录，作为事中事后监管依据。对不履行承诺的企业依法实施限制。</w:t>
      </w:r>
    </w:p>
    <w:p w14:paraId="37D8B722" w14:textId="77777777" w:rsidR="00C34160" w:rsidRDefault="00C34160" w:rsidP="00E7449B">
      <w:pPr>
        <w:pStyle w:val="AD"/>
        <w:spacing w:line="276" w:lineRule="auto"/>
      </w:pPr>
    </w:p>
    <w:p w14:paraId="23D1DE8B" w14:textId="6C9C00D4" w:rsidR="00E7449B" w:rsidRDefault="00E7449B" w:rsidP="00E7449B">
      <w:pPr>
        <w:pStyle w:val="AD"/>
        <w:spacing w:line="276" w:lineRule="auto"/>
      </w:pPr>
      <w:r>
        <w:t>  </w:t>
      </w:r>
      <w:r>
        <w:rPr>
          <w:rFonts w:hint="eastAsia"/>
        </w:rPr>
        <w:t>（十）严格限制虚拟货币“挖矿”企业用电报装和用能。禁止新增虚拟货币“挖矿”项目报装接电，严格用电报装业务审核，不得以任何名义向虚拟货币“挖矿”企业供电，在办申请的报装项目一律停止办理。严格落实电力业务许可制度，严禁以网前供电、拉专线等方式对新建虚拟货币“挖矿”项目的企业供电。加强用电报装业务监管，通过“双随机、一公开”等方式开展抽查核实。</w:t>
      </w:r>
    </w:p>
    <w:p w14:paraId="79B6DA44" w14:textId="77777777" w:rsidR="00C34160" w:rsidRDefault="00C34160" w:rsidP="00E7449B">
      <w:pPr>
        <w:pStyle w:val="AD"/>
        <w:spacing w:line="276" w:lineRule="auto"/>
      </w:pPr>
    </w:p>
    <w:p w14:paraId="455332EB" w14:textId="0FF65F68" w:rsidR="00E7449B" w:rsidRDefault="00E7449B" w:rsidP="00E7449B">
      <w:pPr>
        <w:pStyle w:val="AD"/>
        <w:spacing w:line="276" w:lineRule="auto"/>
      </w:pPr>
      <w:r>
        <w:t>  </w:t>
      </w:r>
      <w:r>
        <w:rPr>
          <w:rFonts w:hint="eastAsia"/>
        </w:rPr>
        <w:t>（十一）严禁对新建虚拟货币“挖矿”项目提供财税金融支持。严禁地方政府、金融机构和非银行支付机构等以财税、金融等任何形式支持新建虚拟货币“挖矿”项目。对政府主导的产业园区，不允许引入新的虚拟货币“挖矿”项目。</w:t>
      </w:r>
    </w:p>
    <w:p w14:paraId="17D50053" w14:textId="77777777" w:rsidR="00C34160" w:rsidRDefault="00C34160" w:rsidP="00E7449B">
      <w:pPr>
        <w:pStyle w:val="AD"/>
        <w:spacing w:line="276" w:lineRule="auto"/>
      </w:pPr>
    </w:p>
    <w:p w14:paraId="23D53298" w14:textId="76E05976" w:rsidR="00E7449B" w:rsidRDefault="00E7449B" w:rsidP="00E7449B">
      <w:pPr>
        <w:pStyle w:val="AD"/>
        <w:spacing w:line="276" w:lineRule="auto"/>
      </w:pPr>
      <w:r>
        <w:t>  </w:t>
      </w:r>
      <w:r>
        <w:rPr>
          <w:rFonts w:hint="eastAsia"/>
        </w:rPr>
        <w:t>五、加快存量项目有序退出</w:t>
      </w:r>
    </w:p>
    <w:p w14:paraId="29C63A59" w14:textId="77777777" w:rsidR="00C34160" w:rsidRDefault="00C34160" w:rsidP="00E7449B">
      <w:pPr>
        <w:pStyle w:val="AD"/>
        <w:spacing w:line="276" w:lineRule="auto"/>
      </w:pPr>
    </w:p>
    <w:p w14:paraId="4502C729" w14:textId="617A3EC0" w:rsidR="00E7449B" w:rsidRDefault="00E7449B" w:rsidP="00E7449B">
      <w:pPr>
        <w:pStyle w:val="AD"/>
        <w:spacing w:line="276" w:lineRule="auto"/>
      </w:pPr>
      <w:r>
        <w:t>  </w:t>
      </w:r>
      <w:r>
        <w:rPr>
          <w:rFonts w:hint="eastAsia"/>
        </w:rPr>
        <w:t>（十二）依法查处违法违规供电行为。加大行政执法工作力度，坚决杜绝发电企业特别是小水电企业向虚拟货币“挖矿”项目网前供电、专线直供电等行为。严禁虚拟货币“挖矿”企业以任何形式发展自备电厂供电。畅通</w:t>
      </w:r>
      <w:r>
        <w:t>12398</w:t>
      </w:r>
      <w:r>
        <w:rPr>
          <w:rFonts w:hint="eastAsia"/>
        </w:rPr>
        <w:t>能源监管投诉举报热线等各类渠道，严肃查处违法违规供电行为，并依法依规给予行政处罚。对已查实非法用电的虚拟货币“挖矿”企业依法采取停限电措施。</w:t>
      </w:r>
    </w:p>
    <w:p w14:paraId="3D021F26" w14:textId="77777777" w:rsidR="00C34160" w:rsidRDefault="00C34160" w:rsidP="00E7449B">
      <w:pPr>
        <w:pStyle w:val="AD"/>
        <w:spacing w:line="276" w:lineRule="auto"/>
      </w:pPr>
    </w:p>
    <w:p w14:paraId="169F56D9" w14:textId="34B91FB4" w:rsidR="00E7449B" w:rsidRDefault="00E7449B" w:rsidP="00E7449B">
      <w:pPr>
        <w:pStyle w:val="AD"/>
        <w:spacing w:line="276" w:lineRule="auto"/>
      </w:pPr>
      <w:r>
        <w:t>  </w:t>
      </w:r>
      <w:r>
        <w:rPr>
          <w:rFonts w:hint="eastAsia"/>
        </w:rPr>
        <w:t>（十三）实行差别电价。将虚拟货币“挖矿”项目纳入差别电价政策实施范围，执行“淘汰类”企业电价，加价标准为每千瓦时</w:t>
      </w:r>
      <w:r>
        <w:t>0.30</w:t>
      </w:r>
      <w:r>
        <w:rPr>
          <w:rFonts w:hint="eastAsia"/>
        </w:rPr>
        <w:t>元，地方可根据实际情况进一步提高加价标准。及时更新虚拟货币“挖矿”项目名单，加强监督检查，确保差别电价政策严格执行到位，对虚拟货币“挖矿”企业及时足额收取加价电费。</w:t>
      </w:r>
    </w:p>
    <w:p w14:paraId="46A1C930" w14:textId="77777777" w:rsidR="00C34160" w:rsidRDefault="00C34160" w:rsidP="00E7449B">
      <w:pPr>
        <w:pStyle w:val="AD"/>
        <w:spacing w:line="276" w:lineRule="auto"/>
      </w:pPr>
    </w:p>
    <w:p w14:paraId="79D38C55" w14:textId="1571B7B8" w:rsidR="00E7449B" w:rsidRDefault="00E7449B" w:rsidP="00E7449B">
      <w:pPr>
        <w:pStyle w:val="AD"/>
        <w:spacing w:line="276" w:lineRule="auto"/>
      </w:pPr>
      <w:r>
        <w:t>  </w:t>
      </w:r>
      <w:r>
        <w:rPr>
          <w:rFonts w:hint="eastAsia"/>
        </w:rPr>
        <w:t>（十四）不允许虚拟货币“挖矿”项目参与电力市场。加强电力市场秩序监管力度，对参与电力市场的企业用户加强甄别，不允许虚拟货币“挖矿”项目以任何名义参与电力市场，不允许虚拟货币“挖矿”项目以任何方式享受电力市场让利。已进入电力市场的虚拟货币“挖矿”项目需限期退出。</w:t>
      </w:r>
    </w:p>
    <w:p w14:paraId="479E4EC7" w14:textId="77777777" w:rsidR="00C34160" w:rsidRDefault="00C34160" w:rsidP="00E7449B">
      <w:pPr>
        <w:pStyle w:val="AD"/>
        <w:spacing w:line="276" w:lineRule="auto"/>
      </w:pPr>
    </w:p>
    <w:p w14:paraId="43BBA059" w14:textId="47B00AE2" w:rsidR="00E7449B" w:rsidRDefault="00E7449B" w:rsidP="00E7449B">
      <w:pPr>
        <w:pStyle w:val="AD"/>
        <w:spacing w:line="276" w:lineRule="auto"/>
      </w:pPr>
      <w:r>
        <w:t>  </w:t>
      </w:r>
      <w:r>
        <w:rPr>
          <w:rFonts w:hint="eastAsia"/>
        </w:rPr>
        <w:t>（十五）停止对虚拟货币“挖矿”项目的一切财税支持。对地方政府已经给予税费、房租、水电费等优惠政策的存量项目，要限期予以停止和取消。对虚拟货币“挖矿”项目及其所在园区，不允许地方政府给予财政补贴和税收优惠政策。</w:t>
      </w:r>
    </w:p>
    <w:p w14:paraId="1A637664" w14:textId="77777777" w:rsidR="00C34160" w:rsidRDefault="00C34160" w:rsidP="00E7449B">
      <w:pPr>
        <w:pStyle w:val="AD"/>
        <w:spacing w:line="276" w:lineRule="auto"/>
      </w:pPr>
    </w:p>
    <w:p w14:paraId="10035FC2" w14:textId="1F40F77F" w:rsidR="00E7449B" w:rsidRDefault="00E7449B" w:rsidP="00E7449B">
      <w:pPr>
        <w:pStyle w:val="AD"/>
        <w:spacing w:line="276" w:lineRule="auto"/>
      </w:pPr>
      <w:r>
        <w:t>  </w:t>
      </w:r>
      <w:r>
        <w:rPr>
          <w:rFonts w:hint="eastAsia"/>
        </w:rPr>
        <w:t>（十六）停止对虚拟货币“挖矿”项目提供金融服务。禁止各金融机构、非银行支付机构直接或间接为虚拟货币“挖矿”企业和项目提供金融服务和各种形式的授信支持，并采取措施收回已发放的贷款。严厉打击各类以虚拟货币“挖矿”名义开展的非法集资和非法发行证券活</w:t>
      </w:r>
      <w:r>
        <w:rPr>
          <w:rFonts w:hint="eastAsia"/>
        </w:rPr>
        <w:lastRenderedPageBreak/>
        <w:t>动。</w:t>
      </w:r>
    </w:p>
    <w:p w14:paraId="41CE5979" w14:textId="77777777" w:rsidR="00C34160" w:rsidRDefault="00C34160" w:rsidP="00E7449B">
      <w:pPr>
        <w:pStyle w:val="AD"/>
        <w:spacing w:line="276" w:lineRule="auto"/>
      </w:pPr>
    </w:p>
    <w:p w14:paraId="6C7D5EC1" w14:textId="74C19718" w:rsidR="00E7449B" w:rsidRDefault="00E7449B" w:rsidP="00E7449B">
      <w:pPr>
        <w:pStyle w:val="AD"/>
        <w:spacing w:line="276" w:lineRule="auto"/>
      </w:pPr>
      <w:r>
        <w:t>  </w:t>
      </w:r>
      <w:r>
        <w:rPr>
          <w:rFonts w:hint="eastAsia"/>
        </w:rPr>
        <w:t>（十七）按照《产业结构调整指导目录》规定限期淘汰。按照《产业结构调整指导目录》有关规定，采取有力措施对存量虚拟货币“挖矿”项目即行有序整改淘汰。对不按期淘汰的企业，要依据国家有关法律法规责令其停产或予以关闭。对违反规定者，依法追究相关责任。</w:t>
      </w:r>
    </w:p>
    <w:p w14:paraId="76848981" w14:textId="77777777" w:rsidR="00C34160" w:rsidRDefault="00C34160" w:rsidP="00E7449B">
      <w:pPr>
        <w:pStyle w:val="AD"/>
        <w:spacing w:line="276" w:lineRule="auto"/>
      </w:pPr>
    </w:p>
    <w:p w14:paraId="20A904AE" w14:textId="244B4436" w:rsidR="00E7449B" w:rsidRDefault="00E7449B" w:rsidP="00E7449B">
      <w:pPr>
        <w:pStyle w:val="AD"/>
        <w:spacing w:line="276" w:lineRule="auto"/>
      </w:pPr>
      <w:r>
        <w:t>  </w:t>
      </w:r>
      <w:r>
        <w:rPr>
          <w:rFonts w:hint="eastAsia"/>
        </w:rPr>
        <w:t>六、保障措施</w:t>
      </w:r>
    </w:p>
    <w:p w14:paraId="60D48D98" w14:textId="77777777" w:rsidR="00C34160" w:rsidRDefault="00C34160" w:rsidP="00E7449B">
      <w:pPr>
        <w:pStyle w:val="AD"/>
        <w:spacing w:line="276" w:lineRule="auto"/>
      </w:pPr>
    </w:p>
    <w:p w14:paraId="0F2556B7" w14:textId="559C1B6A" w:rsidR="00E7449B" w:rsidRDefault="00E7449B" w:rsidP="00E7449B">
      <w:pPr>
        <w:pStyle w:val="AD"/>
        <w:spacing w:line="276" w:lineRule="auto"/>
      </w:pPr>
      <w:r>
        <w:t>  </w:t>
      </w:r>
      <w:r>
        <w:rPr>
          <w:rFonts w:hint="eastAsia"/>
        </w:rPr>
        <w:t>（十八）明确责任分工。发展改革部门会同金融、能源、工信、网信、财政、税务、市场监管等部门统筹推进对“挖矿”活动的整治工作。各地区要建立相应的协调推进机制，细化措施，确保任务落实到位。各地区、各有关部门要加强工作协同和信息共享，按照“中央统筹、省负总责、市县落实”的原则，切实推动虚拟货币“挖矿”活动整治工作。</w:t>
      </w:r>
    </w:p>
    <w:p w14:paraId="683E1378" w14:textId="77777777" w:rsidR="00C34160" w:rsidRDefault="00C34160" w:rsidP="00E7449B">
      <w:pPr>
        <w:pStyle w:val="AD"/>
        <w:spacing w:line="276" w:lineRule="auto"/>
      </w:pPr>
    </w:p>
    <w:p w14:paraId="267C533E" w14:textId="5548E320" w:rsidR="00E7449B" w:rsidRDefault="00E7449B" w:rsidP="00E7449B">
      <w:pPr>
        <w:pStyle w:val="AD"/>
        <w:spacing w:line="276" w:lineRule="auto"/>
      </w:pPr>
      <w:r>
        <w:t>  </w:t>
      </w:r>
      <w:r>
        <w:rPr>
          <w:rFonts w:hint="eastAsia"/>
        </w:rPr>
        <w:t>（十九）形成监管合力。金融管理部门、网信部门加强对相关主体的监测分析和穿透式监管，对虚拟加密资产大数据监测平台等识别出的矿场定位到</w:t>
      </w:r>
      <w:r>
        <w:t>IP</w:t>
      </w:r>
      <w:r>
        <w:rPr>
          <w:rFonts w:hint="eastAsia"/>
        </w:rPr>
        <w:t>地址、具体企业和物理住所，并加强与相关监管部门的信息共享交流和数据交叉验证，形成全链条治理合力。能源监管机构要加大力度对违规供电项目和存在电力安全隐患项目进行查处，并对违反规定参与电力市场交易的行为进行监管。各地有关部门要建立联合工作机制，对虚拟货币“挖矿”和交易环节进行全链条治理。各地要建立完善举报平台，畅通全社会对虚拟货币“挖矿”项目的监督渠道。</w:t>
      </w:r>
    </w:p>
    <w:p w14:paraId="68641E6D" w14:textId="77777777" w:rsidR="00C34160" w:rsidRDefault="00C34160" w:rsidP="00E7449B">
      <w:pPr>
        <w:pStyle w:val="AD"/>
        <w:spacing w:line="276" w:lineRule="auto"/>
      </w:pPr>
    </w:p>
    <w:p w14:paraId="0A92442C" w14:textId="307DE26C" w:rsidR="00E7449B" w:rsidRDefault="00E7449B" w:rsidP="00E7449B">
      <w:pPr>
        <w:pStyle w:val="AD"/>
        <w:spacing w:line="276" w:lineRule="auto"/>
      </w:pPr>
      <w:r>
        <w:t>  </w:t>
      </w:r>
      <w:r>
        <w:rPr>
          <w:rFonts w:hint="eastAsia"/>
        </w:rPr>
        <w:t>（二十）强化督促落实。各地区要明确时间表、路线图，建立工作台账，强化工作落实，及时跟踪分析涉及本地区的相关政策措施实施进展及成效，确保各项工作措施做实做细、落实到位。国家相关部门要适时组织第三方机构对各地虚拟货币“挖矿”项目清理退出情况开展评估，并建立信息通报机制，及时通报各地工作进展。</w:t>
      </w:r>
    </w:p>
    <w:p w14:paraId="284E0CE0" w14:textId="77777777" w:rsidR="00E7449B" w:rsidRDefault="00E7449B" w:rsidP="00E7449B">
      <w:pPr>
        <w:pStyle w:val="AD"/>
        <w:spacing w:line="276" w:lineRule="auto"/>
      </w:pPr>
    </w:p>
    <w:p w14:paraId="5550AC64" w14:textId="77777777" w:rsidR="00E7449B" w:rsidRDefault="00E7449B" w:rsidP="00E7449B">
      <w:pPr>
        <w:pStyle w:val="AD"/>
        <w:spacing w:line="276" w:lineRule="auto"/>
        <w:jc w:val="right"/>
      </w:pPr>
      <w:r>
        <w:rPr>
          <w:rFonts w:hint="eastAsia"/>
        </w:rPr>
        <w:t>国家发展改革委</w:t>
      </w:r>
    </w:p>
    <w:p w14:paraId="12F248F4" w14:textId="3D1D6D55" w:rsidR="00E7449B" w:rsidRDefault="00E7449B" w:rsidP="00E7449B">
      <w:pPr>
        <w:pStyle w:val="AD"/>
        <w:spacing w:line="276" w:lineRule="auto"/>
        <w:jc w:val="right"/>
      </w:pPr>
      <w:r>
        <w:rPr>
          <w:rFonts w:hint="eastAsia"/>
        </w:rPr>
        <w:t>中央宣传部</w:t>
      </w:r>
    </w:p>
    <w:p w14:paraId="73E57D32" w14:textId="2AB833E9" w:rsidR="00E7449B" w:rsidRDefault="00E7449B" w:rsidP="00E7449B">
      <w:pPr>
        <w:pStyle w:val="AD"/>
        <w:spacing w:line="276" w:lineRule="auto"/>
        <w:jc w:val="right"/>
      </w:pPr>
      <w:r>
        <w:rPr>
          <w:rFonts w:hint="eastAsia"/>
        </w:rPr>
        <w:t>中央网信办</w:t>
      </w:r>
    </w:p>
    <w:p w14:paraId="4600EF15" w14:textId="77777777" w:rsidR="00E7449B" w:rsidRDefault="00E7449B" w:rsidP="00E7449B">
      <w:pPr>
        <w:pStyle w:val="AD"/>
        <w:spacing w:line="276" w:lineRule="auto"/>
        <w:jc w:val="right"/>
      </w:pPr>
      <w:r>
        <w:rPr>
          <w:rFonts w:hint="eastAsia"/>
        </w:rPr>
        <w:t>工业和信息化部</w:t>
      </w:r>
    </w:p>
    <w:p w14:paraId="2CE0E5A7" w14:textId="5E22CEC1" w:rsidR="00E7449B" w:rsidRDefault="00E7449B" w:rsidP="00E7449B">
      <w:pPr>
        <w:pStyle w:val="AD"/>
        <w:spacing w:line="276" w:lineRule="auto"/>
        <w:jc w:val="right"/>
      </w:pPr>
      <w:r>
        <w:rPr>
          <w:rFonts w:hint="eastAsia"/>
        </w:rPr>
        <w:t>公安部</w:t>
      </w:r>
    </w:p>
    <w:p w14:paraId="4AD6F628" w14:textId="6F6A8B17" w:rsidR="00E7449B" w:rsidRDefault="00E7449B" w:rsidP="00E7449B">
      <w:pPr>
        <w:pStyle w:val="AD"/>
        <w:spacing w:line="276" w:lineRule="auto"/>
        <w:jc w:val="right"/>
      </w:pPr>
      <w:r>
        <w:rPr>
          <w:rFonts w:hint="eastAsia"/>
        </w:rPr>
        <w:t>财政部</w:t>
      </w:r>
    </w:p>
    <w:p w14:paraId="33AE491A" w14:textId="2CB615CD" w:rsidR="00E7449B" w:rsidRDefault="00E7449B" w:rsidP="00E7449B">
      <w:pPr>
        <w:pStyle w:val="AD"/>
        <w:spacing w:line="276" w:lineRule="auto"/>
        <w:jc w:val="right"/>
      </w:pPr>
      <w:r>
        <w:rPr>
          <w:rFonts w:hint="eastAsia"/>
        </w:rPr>
        <w:t>人民银行</w:t>
      </w:r>
    </w:p>
    <w:p w14:paraId="40374BDA" w14:textId="0F242A45" w:rsidR="00E7449B" w:rsidRDefault="00E7449B" w:rsidP="00E7449B">
      <w:pPr>
        <w:pStyle w:val="AD"/>
        <w:spacing w:line="276" w:lineRule="auto"/>
        <w:jc w:val="right"/>
      </w:pPr>
      <w:r>
        <w:rPr>
          <w:rFonts w:hint="eastAsia"/>
        </w:rPr>
        <w:t>税务总局</w:t>
      </w:r>
    </w:p>
    <w:p w14:paraId="2465C922" w14:textId="77777777" w:rsidR="00E7449B" w:rsidRDefault="00E7449B" w:rsidP="00E7449B">
      <w:pPr>
        <w:pStyle w:val="AD"/>
        <w:spacing w:line="276" w:lineRule="auto"/>
        <w:jc w:val="right"/>
      </w:pPr>
      <w:r>
        <w:rPr>
          <w:rFonts w:hint="eastAsia"/>
        </w:rPr>
        <w:t>市场监管总局</w:t>
      </w:r>
    </w:p>
    <w:p w14:paraId="6FE1D625" w14:textId="1DC29A03" w:rsidR="00E7449B" w:rsidRDefault="00E7449B" w:rsidP="00E7449B">
      <w:pPr>
        <w:pStyle w:val="AD"/>
        <w:spacing w:line="276" w:lineRule="auto"/>
        <w:jc w:val="right"/>
      </w:pPr>
      <w:r>
        <w:rPr>
          <w:rFonts w:hint="eastAsia"/>
        </w:rPr>
        <w:t>银保监会</w:t>
      </w:r>
    </w:p>
    <w:p w14:paraId="45E13D81" w14:textId="1D239603" w:rsidR="00E7449B" w:rsidRDefault="00E7449B" w:rsidP="00E7449B">
      <w:pPr>
        <w:pStyle w:val="AD"/>
        <w:spacing w:line="276" w:lineRule="auto"/>
        <w:jc w:val="right"/>
      </w:pPr>
      <w:r>
        <w:rPr>
          <w:rFonts w:hint="eastAsia"/>
        </w:rPr>
        <w:t>国家能源局</w:t>
      </w:r>
    </w:p>
    <w:p w14:paraId="5134F001" w14:textId="7C173CDD" w:rsidR="00B15193" w:rsidRDefault="00E7449B" w:rsidP="00E7449B">
      <w:pPr>
        <w:pStyle w:val="AD"/>
        <w:spacing w:line="276" w:lineRule="auto"/>
        <w:jc w:val="right"/>
      </w:pPr>
      <w:r>
        <w:rPr>
          <w:rFonts w:hint="eastAsia"/>
        </w:rPr>
        <w:t>2021</w:t>
      </w:r>
      <w:r>
        <w:rPr>
          <w:rFonts w:hint="eastAsia"/>
        </w:rPr>
        <w:t>年</w:t>
      </w:r>
      <w:r>
        <w:rPr>
          <w:rFonts w:hint="eastAsia"/>
        </w:rPr>
        <w:t>9</w:t>
      </w:r>
      <w:r>
        <w:rPr>
          <w:rFonts w:hint="eastAsia"/>
        </w:rPr>
        <w:t>月</w:t>
      </w:r>
      <w:r>
        <w:rPr>
          <w:rFonts w:hint="eastAsia"/>
        </w:rPr>
        <w:t>3</w:t>
      </w:r>
      <w:r>
        <w:rPr>
          <w:rFonts w:hint="eastAsia"/>
        </w:rPr>
        <w:t>日</w:t>
      </w:r>
    </w:p>
    <w:p w14:paraId="2286D7D5" w14:textId="2A12CF70" w:rsidR="00E7449B" w:rsidRDefault="00E7449B" w:rsidP="00E7449B">
      <w:pPr>
        <w:pStyle w:val="AD"/>
        <w:spacing w:line="276" w:lineRule="auto"/>
      </w:pPr>
    </w:p>
    <w:p w14:paraId="2EACB2FC" w14:textId="325B4956" w:rsidR="00E7449B" w:rsidRDefault="00E7449B" w:rsidP="00E7449B">
      <w:pPr>
        <w:pStyle w:val="AD"/>
        <w:spacing w:line="276" w:lineRule="auto"/>
      </w:pPr>
    </w:p>
    <w:p w14:paraId="5CDA8E90" w14:textId="77777777" w:rsidR="00E7449B" w:rsidRDefault="00E7449B" w:rsidP="00E7449B">
      <w:pPr>
        <w:pStyle w:val="AD"/>
        <w:spacing w:line="276" w:lineRule="auto"/>
      </w:pPr>
      <w:r>
        <w:rPr>
          <w:rFonts w:hint="eastAsia"/>
        </w:rPr>
        <w:lastRenderedPageBreak/>
        <w:t>信息来源：</w:t>
      </w:r>
    </w:p>
    <w:p w14:paraId="73192F45" w14:textId="051B04EC" w:rsidR="00E7449B" w:rsidRDefault="0074162B" w:rsidP="00E7449B">
      <w:pPr>
        <w:pStyle w:val="AD"/>
        <w:spacing w:line="276" w:lineRule="auto"/>
      </w:pPr>
      <w:hyperlink r:id="rId6" w:history="1">
        <w:r w:rsidR="00E7449B" w:rsidRPr="00207A4B">
          <w:rPr>
            <w:rStyle w:val="a9"/>
          </w:rPr>
          <w:t>https://www.ndrc.gov.cn/xxgk/zcfb/tz/202109/t20210924_1297474.html?code=&amp;state=123</w:t>
        </w:r>
      </w:hyperlink>
    </w:p>
    <w:p w14:paraId="75C733F6" w14:textId="77777777" w:rsidR="00E7449B" w:rsidRPr="00E7449B" w:rsidRDefault="00E7449B" w:rsidP="00E7449B">
      <w:pPr>
        <w:pStyle w:val="AD"/>
        <w:spacing w:line="276" w:lineRule="auto"/>
      </w:pPr>
    </w:p>
    <w:sectPr w:rsidR="00E7449B" w:rsidRPr="00E7449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20F5" w14:textId="77777777" w:rsidR="0074162B" w:rsidRDefault="0074162B" w:rsidP="00C20A6A">
      <w:pPr>
        <w:spacing w:line="240" w:lineRule="auto"/>
      </w:pPr>
      <w:r>
        <w:separator/>
      </w:r>
    </w:p>
  </w:endnote>
  <w:endnote w:type="continuationSeparator" w:id="0">
    <w:p w14:paraId="004120A9" w14:textId="77777777" w:rsidR="0074162B" w:rsidRDefault="0074162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CCD6" w14:textId="77777777" w:rsidR="0074162B" w:rsidRDefault="0074162B" w:rsidP="00C20A6A">
      <w:pPr>
        <w:spacing w:line="240" w:lineRule="auto"/>
      </w:pPr>
      <w:r>
        <w:separator/>
      </w:r>
    </w:p>
  </w:footnote>
  <w:footnote w:type="continuationSeparator" w:id="0">
    <w:p w14:paraId="51EBCAAA" w14:textId="77777777" w:rsidR="0074162B" w:rsidRDefault="0074162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075D"/>
    <w:rsid w:val="000F4C6A"/>
    <w:rsid w:val="00176A25"/>
    <w:rsid w:val="001C4C6F"/>
    <w:rsid w:val="003D27E2"/>
    <w:rsid w:val="005F7C76"/>
    <w:rsid w:val="0062075D"/>
    <w:rsid w:val="0074162B"/>
    <w:rsid w:val="007D7BDB"/>
    <w:rsid w:val="00A548E7"/>
    <w:rsid w:val="00B15193"/>
    <w:rsid w:val="00B731F1"/>
    <w:rsid w:val="00C20A6A"/>
    <w:rsid w:val="00C22624"/>
    <w:rsid w:val="00C24A77"/>
    <w:rsid w:val="00C34160"/>
    <w:rsid w:val="00D02718"/>
    <w:rsid w:val="00D308B4"/>
    <w:rsid w:val="00E7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50E01"/>
  <w15:chartTrackingRefBased/>
  <w15:docId w15:val="{E22ECDA7-0762-4E89-B884-FA17CC41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7449B"/>
    <w:pPr>
      <w:ind w:leftChars="2500" w:left="100"/>
    </w:pPr>
  </w:style>
  <w:style w:type="character" w:customStyle="1" w:styleId="a8">
    <w:name w:val="日期 字符"/>
    <w:basedOn w:val="a0"/>
    <w:link w:val="a7"/>
    <w:uiPriority w:val="99"/>
    <w:semiHidden/>
    <w:rsid w:val="00E7449B"/>
    <w:rPr>
      <w:rFonts w:ascii="Arial" w:eastAsia="宋体" w:hAnsi="Arial"/>
      <w:sz w:val="22"/>
    </w:rPr>
  </w:style>
  <w:style w:type="character" w:styleId="a9">
    <w:name w:val="Hyperlink"/>
    <w:basedOn w:val="a0"/>
    <w:uiPriority w:val="99"/>
    <w:unhideWhenUsed/>
    <w:rsid w:val="00E7449B"/>
    <w:rPr>
      <w:color w:val="0000FF" w:themeColor="hyperlink"/>
      <w:u w:val="single"/>
    </w:rPr>
  </w:style>
  <w:style w:type="character" w:styleId="aa">
    <w:name w:val="Unresolved Mention"/>
    <w:basedOn w:val="a0"/>
    <w:uiPriority w:val="99"/>
    <w:semiHidden/>
    <w:unhideWhenUsed/>
    <w:rsid w:val="00E74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109/t20210924_1297474.html?code=&amp;state=1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2021-10-13T02:57:00Z</dcterms:created>
  <dcterms:modified xsi:type="dcterms:W3CDTF">2021-10-15T02:53:00Z</dcterms:modified>
</cp:coreProperties>
</file>