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23F3" w14:textId="0A468DB2" w:rsidR="003E461B" w:rsidRPr="00CD05B4" w:rsidRDefault="003E461B" w:rsidP="00FD77D2">
      <w:pPr>
        <w:pStyle w:val="AD"/>
        <w:spacing w:line="276" w:lineRule="auto"/>
        <w:jc w:val="center"/>
        <w:rPr>
          <w:b/>
          <w:bCs/>
          <w:color w:val="E36C0A" w:themeColor="accent6" w:themeShade="BF"/>
          <w:sz w:val="32"/>
          <w:szCs w:val="32"/>
        </w:rPr>
      </w:pPr>
      <w:r w:rsidRPr="00CD05B4">
        <w:rPr>
          <w:rFonts w:hint="eastAsia"/>
          <w:b/>
          <w:bCs/>
          <w:color w:val="E36C0A" w:themeColor="accent6" w:themeShade="BF"/>
          <w:sz w:val="32"/>
          <w:szCs w:val="32"/>
        </w:rPr>
        <w:t>关于银行业金融机构境外贷款业务有关事宜的规定（征求意见稿）</w:t>
      </w:r>
    </w:p>
    <w:p w14:paraId="08D7EE03" w14:textId="77777777" w:rsidR="003E461B" w:rsidRDefault="003E461B" w:rsidP="00FD77D2">
      <w:pPr>
        <w:pStyle w:val="AD"/>
        <w:spacing w:line="276" w:lineRule="auto"/>
      </w:pPr>
    </w:p>
    <w:p w14:paraId="5ED28D34" w14:textId="77777777" w:rsidR="003E461B" w:rsidRDefault="003E461B" w:rsidP="00FD77D2">
      <w:pPr>
        <w:pStyle w:val="AD"/>
        <w:spacing w:line="276" w:lineRule="auto"/>
      </w:pPr>
      <w:r>
        <w:rPr>
          <w:rFonts w:hint="eastAsia"/>
        </w:rPr>
        <w:t>为推动形成以国内大循环为主体、国内国际双循环相互促进的新发展格局，切实发挥跨境业务服务实体经济、促进贸易投资便利化的作用，进一步支持和规范境内银行业金融机构（以下简称境内银行）开展境外贷款业务，现就有关事项规定如下：</w:t>
      </w:r>
    </w:p>
    <w:p w14:paraId="3886EC99" w14:textId="77777777" w:rsidR="000A56A9" w:rsidRDefault="000A56A9" w:rsidP="00FD77D2">
      <w:pPr>
        <w:pStyle w:val="AD"/>
        <w:spacing w:line="276" w:lineRule="auto"/>
      </w:pPr>
    </w:p>
    <w:p w14:paraId="4E7FF2DC" w14:textId="382D2F93" w:rsidR="003E461B" w:rsidRDefault="000A56A9" w:rsidP="00FD77D2">
      <w:pPr>
        <w:pStyle w:val="AD"/>
        <w:spacing w:line="276" w:lineRule="auto"/>
      </w:pPr>
      <w:r>
        <w:rPr>
          <w:rFonts w:hint="eastAsia"/>
        </w:rPr>
        <w:t xml:space="preserve">    </w:t>
      </w:r>
      <w:r w:rsidR="003E461B">
        <w:rPr>
          <w:rFonts w:hint="eastAsia"/>
        </w:rPr>
        <w:t>一、本规定所称境外贷款业务是指具备国际结算业务能力的境内银行在经批准的经营范围内直接向境外企业发放本外币贷款，或通过向境外银行融出资金等方式间接向境外企业发放一年期以上本外币贷款的行为，不包括银行基于真实跨境贸易结算办理的贸易融资。</w:t>
      </w:r>
    </w:p>
    <w:p w14:paraId="1D94BC23" w14:textId="77777777" w:rsidR="003E461B" w:rsidRDefault="003E461B" w:rsidP="00FD77D2">
      <w:pPr>
        <w:pStyle w:val="AD"/>
        <w:spacing w:line="276" w:lineRule="auto"/>
      </w:pPr>
      <w:r>
        <w:rPr>
          <w:rFonts w:hint="eastAsia"/>
        </w:rPr>
        <w:t>本规定所称境外企业是指在中华人民共和国境外（含香港、澳门和台湾地区）合法注册成立的非金融企业。</w:t>
      </w:r>
    </w:p>
    <w:p w14:paraId="5A4FE6B4" w14:textId="77777777" w:rsidR="000A56A9" w:rsidRDefault="000A56A9" w:rsidP="00FD77D2">
      <w:pPr>
        <w:pStyle w:val="AD"/>
        <w:spacing w:line="276" w:lineRule="auto"/>
      </w:pPr>
    </w:p>
    <w:p w14:paraId="6E0258DD" w14:textId="2B2F8D63" w:rsidR="003E461B" w:rsidRDefault="003E461B" w:rsidP="00FD77D2">
      <w:pPr>
        <w:pStyle w:val="AD"/>
        <w:spacing w:line="276" w:lineRule="auto"/>
      </w:pPr>
      <w:r>
        <w:rPr>
          <w:rFonts w:hint="eastAsia"/>
        </w:rPr>
        <w:t xml:space="preserve">    </w:t>
      </w:r>
      <w:r>
        <w:rPr>
          <w:rFonts w:hint="eastAsia"/>
        </w:rPr>
        <w:t>二、境内银行应按照宏观审慎的原则，综合考虑资产负债情况和币种结构等各方面因素，统筹境内、外业务发展，在境外贷款余额上限内按规定自主开展境外贷款业务，鼓励对有实际需求的境外企业优先采用人民币贷款。</w:t>
      </w:r>
    </w:p>
    <w:p w14:paraId="6570D7AD" w14:textId="77777777" w:rsidR="000A56A9" w:rsidRDefault="000A56A9" w:rsidP="00FD77D2">
      <w:pPr>
        <w:pStyle w:val="AD"/>
        <w:spacing w:line="276" w:lineRule="auto"/>
      </w:pPr>
    </w:p>
    <w:p w14:paraId="6B18016E" w14:textId="46527C21" w:rsidR="003E461B" w:rsidRDefault="000A56A9" w:rsidP="00FD77D2">
      <w:pPr>
        <w:pStyle w:val="AD"/>
        <w:spacing w:line="276" w:lineRule="auto"/>
      </w:pPr>
      <w:r>
        <w:rPr>
          <w:rFonts w:hint="eastAsia"/>
        </w:rPr>
        <w:t xml:space="preserve">    </w:t>
      </w:r>
      <w:r w:rsidR="003E461B">
        <w:rPr>
          <w:rFonts w:hint="eastAsia"/>
        </w:rPr>
        <w:t>三、境内银行境外贷款余额（指已提用未偿余额，下同）不得超过上限，即：境外贷款余额≤境外贷款余额上限。</w:t>
      </w:r>
    </w:p>
    <w:p w14:paraId="12FBCF93" w14:textId="77777777" w:rsidR="003E461B" w:rsidRDefault="003E461B" w:rsidP="00FD77D2">
      <w:pPr>
        <w:pStyle w:val="AD"/>
        <w:spacing w:line="276" w:lineRule="auto"/>
      </w:pPr>
      <w:r>
        <w:rPr>
          <w:rFonts w:hint="eastAsia"/>
        </w:rPr>
        <w:t>境外贷款余额上限</w:t>
      </w:r>
      <w:r>
        <w:rPr>
          <w:rFonts w:hint="eastAsia"/>
        </w:rPr>
        <w:t>=</w:t>
      </w:r>
      <w:r>
        <w:rPr>
          <w:rFonts w:hint="eastAsia"/>
        </w:rPr>
        <w:t>境内银行一级资本净额（外国银行境内分行按营运资金计）</w:t>
      </w:r>
      <w:r>
        <w:rPr>
          <w:rFonts w:hint="eastAsia"/>
        </w:rPr>
        <w:t>*</w:t>
      </w:r>
      <w:r>
        <w:rPr>
          <w:rFonts w:hint="eastAsia"/>
        </w:rPr>
        <w:t>境外贷款杠杆率</w:t>
      </w:r>
      <w:r>
        <w:rPr>
          <w:rFonts w:hint="eastAsia"/>
        </w:rPr>
        <w:t>*</w:t>
      </w:r>
      <w:r>
        <w:rPr>
          <w:rFonts w:hint="eastAsia"/>
        </w:rPr>
        <w:t>宏观审慎调节参数</w:t>
      </w:r>
    </w:p>
    <w:p w14:paraId="6157028E" w14:textId="77777777" w:rsidR="003E461B" w:rsidRDefault="003E461B" w:rsidP="00FD77D2">
      <w:pPr>
        <w:pStyle w:val="AD"/>
        <w:spacing w:line="276" w:lineRule="auto"/>
      </w:pPr>
      <w:r>
        <w:rPr>
          <w:rFonts w:hint="eastAsia"/>
        </w:rPr>
        <w:t>境外贷款余额</w:t>
      </w:r>
      <w:r>
        <w:rPr>
          <w:rFonts w:hint="eastAsia"/>
        </w:rPr>
        <w:t>=</w:t>
      </w:r>
      <w:r>
        <w:rPr>
          <w:rFonts w:hint="eastAsia"/>
        </w:rPr>
        <w:t>本外币境外贷款余额</w:t>
      </w:r>
      <w:r>
        <w:rPr>
          <w:rFonts w:hint="eastAsia"/>
        </w:rPr>
        <w:t>+</w:t>
      </w:r>
      <w:r>
        <w:rPr>
          <w:rFonts w:hint="eastAsia"/>
        </w:rPr>
        <w:t>外币境外贷款余额</w:t>
      </w:r>
      <w:r>
        <w:rPr>
          <w:rFonts w:hint="eastAsia"/>
        </w:rPr>
        <w:t>*</w:t>
      </w:r>
      <w:r>
        <w:rPr>
          <w:rFonts w:hint="eastAsia"/>
        </w:rPr>
        <w:t>汇率风险折算因子</w:t>
      </w:r>
    </w:p>
    <w:p w14:paraId="6209FEB7" w14:textId="77777777" w:rsidR="003E461B" w:rsidRDefault="003E461B" w:rsidP="00FD77D2">
      <w:pPr>
        <w:pStyle w:val="AD"/>
        <w:spacing w:line="276" w:lineRule="auto"/>
      </w:pPr>
      <w:r>
        <w:rPr>
          <w:rFonts w:hint="eastAsia"/>
        </w:rPr>
        <w:t>一级资本净额或营运资金以最近一期经审计的财务报告为准（采用银行法人口径）。中国人民银行和国家外汇管理局根据宏观经济形势和跨境资金流动情况对境外贷款杠杆率、宏观审慎调节参数、汇率风险折算因子进行动态调整（具体参数设置见附件</w:t>
      </w:r>
      <w:r>
        <w:rPr>
          <w:rFonts w:hint="eastAsia"/>
        </w:rPr>
        <w:t>1</w:t>
      </w:r>
      <w:r>
        <w:rPr>
          <w:rFonts w:hint="eastAsia"/>
        </w:rPr>
        <w:t>）。</w:t>
      </w:r>
    </w:p>
    <w:p w14:paraId="347D995C" w14:textId="77777777" w:rsidR="003E461B" w:rsidRDefault="003E461B" w:rsidP="00FD77D2">
      <w:pPr>
        <w:pStyle w:val="AD"/>
        <w:spacing w:line="276" w:lineRule="auto"/>
      </w:pPr>
      <w:r>
        <w:rPr>
          <w:rFonts w:hint="eastAsia"/>
        </w:rPr>
        <w:t>境内银行应做好境外贷款业务规划和管理，确保任一时点贷款余额不超过上限。若因银行一级资本净额（营运资金）、境外贷款杠杆率或宏观审慎调节参数调整导致境外贷款余额超过上限，银行应暂停办理新的境外贷款业务，直至境外贷款余额调整至上限之内。</w:t>
      </w:r>
    </w:p>
    <w:p w14:paraId="1964B28C" w14:textId="77777777" w:rsidR="000A56A9" w:rsidRDefault="000A56A9" w:rsidP="00FD77D2">
      <w:pPr>
        <w:pStyle w:val="AD"/>
        <w:spacing w:line="276" w:lineRule="auto"/>
      </w:pPr>
    </w:p>
    <w:p w14:paraId="517120F5" w14:textId="47227256" w:rsidR="003E461B" w:rsidRDefault="000A56A9" w:rsidP="00FD77D2">
      <w:pPr>
        <w:pStyle w:val="AD"/>
        <w:spacing w:line="276" w:lineRule="auto"/>
      </w:pPr>
      <w:r>
        <w:rPr>
          <w:rFonts w:hint="eastAsia"/>
        </w:rPr>
        <w:t xml:space="preserve">    </w:t>
      </w:r>
      <w:r w:rsidR="003E461B">
        <w:rPr>
          <w:rFonts w:hint="eastAsia"/>
        </w:rPr>
        <w:t>四、境内银行开展境外贷款业务的，应充分了解国际化经营规则和风险管理，建立完善的业务操作规程和内控制度，报中国人民银行总行、国家外汇管理局或其分支机构备案后实施。提交备案材料包括但不限于贷款流程管理、专业人员配备、风险控制制度等，与境外银行合作开展境外人民币贷款业务的，还应建立信贷责任、管理和风险分担机制。</w:t>
      </w:r>
    </w:p>
    <w:p w14:paraId="46ACF3F3" w14:textId="77777777" w:rsidR="000A56A9" w:rsidRDefault="000A56A9" w:rsidP="00FD77D2">
      <w:pPr>
        <w:pStyle w:val="AD"/>
        <w:spacing w:line="276" w:lineRule="auto"/>
      </w:pPr>
    </w:p>
    <w:p w14:paraId="7C0A3C3B" w14:textId="74179527" w:rsidR="003E461B" w:rsidRDefault="000A56A9" w:rsidP="00FD77D2">
      <w:pPr>
        <w:pStyle w:val="AD"/>
        <w:spacing w:line="276" w:lineRule="auto"/>
      </w:pPr>
      <w:r>
        <w:rPr>
          <w:rFonts w:hint="eastAsia"/>
        </w:rPr>
        <w:t xml:space="preserve">    </w:t>
      </w:r>
      <w:r w:rsidR="003E461B">
        <w:rPr>
          <w:rFonts w:hint="eastAsia"/>
        </w:rPr>
        <w:t>五、境内银行可按现行制度规定为境外企业开立银行结算账户办理境外贷款业务，也可以通过境外企业在境外银行开立的账户办理。</w:t>
      </w:r>
    </w:p>
    <w:p w14:paraId="1B76AFCA" w14:textId="77777777" w:rsidR="000A56A9" w:rsidRDefault="000A56A9" w:rsidP="00FD77D2">
      <w:pPr>
        <w:pStyle w:val="AD"/>
        <w:spacing w:line="276" w:lineRule="auto"/>
      </w:pPr>
    </w:p>
    <w:p w14:paraId="2FB58C7C" w14:textId="33428CFC" w:rsidR="003E461B" w:rsidRDefault="000A56A9" w:rsidP="00FD77D2">
      <w:pPr>
        <w:pStyle w:val="AD"/>
        <w:spacing w:line="276" w:lineRule="auto"/>
      </w:pPr>
      <w:r>
        <w:rPr>
          <w:rFonts w:hint="eastAsia"/>
        </w:rPr>
        <w:t xml:space="preserve">    </w:t>
      </w:r>
      <w:r w:rsidR="003E461B">
        <w:rPr>
          <w:rFonts w:hint="eastAsia"/>
        </w:rPr>
        <w:t>六、贷款利率应符合商业原则，在合理范围内确定。</w:t>
      </w:r>
    </w:p>
    <w:p w14:paraId="2CDA9FD8" w14:textId="77777777" w:rsidR="000A56A9" w:rsidRDefault="000A56A9" w:rsidP="00FD77D2">
      <w:pPr>
        <w:pStyle w:val="AD"/>
        <w:spacing w:line="276" w:lineRule="auto"/>
      </w:pPr>
    </w:p>
    <w:p w14:paraId="62DB3DFF" w14:textId="5A32EB46" w:rsidR="003E461B" w:rsidRDefault="000A56A9" w:rsidP="00FD77D2">
      <w:pPr>
        <w:pStyle w:val="AD"/>
        <w:spacing w:line="276" w:lineRule="auto"/>
      </w:pPr>
      <w:r>
        <w:rPr>
          <w:rFonts w:hint="eastAsia"/>
        </w:rPr>
        <w:t xml:space="preserve">    </w:t>
      </w:r>
      <w:r w:rsidR="003E461B">
        <w:rPr>
          <w:rFonts w:hint="eastAsia"/>
        </w:rPr>
        <w:t>七、境内银行发放的境外贷款，原则上应用于境外企业经营范围内的相关支出、不得以任</w:t>
      </w:r>
      <w:r w:rsidR="003E461B">
        <w:rPr>
          <w:rFonts w:hint="eastAsia"/>
        </w:rPr>
        <w:lastRenderedPageBreak/>
        <w:t>何形式直接或间接调回境内使用、不得用于证券投资、不得用于偿还内保外贷项下境外债务，如境外贷款用于境外直接投资，应符合国内相关主管部门有关境外投资的规定。境内银行应加强对境外贷款业务债务人主体资格、资金用途、预计的还款资金来源及相关交易背景的真实合规性审核，对是否符合境内外相关法律法规进行尽职调查，严格审查境外企业资信，并监督境外企业按照其申明的用途使用贷款资金。</w:t>
      </w:r>
      <w:r w:rsidR="003E461B">
        <w:rPr>
          <w:rFonts w:hint="eastAsia"/>
        </w:rPr>
        <w:t xml:space="preserve"> </w:t>
      </w:r>
    </w:p>
    <w:p w14:paraId="35FF1A1A" w14:textId="77777777" w:rsidR="000A56A9" w:rsidRDefault="000A56A9" w:rsidP="00FD77D2">
      <w:pPr>
        <w:pStyle w:val="AD"/>
        <w:spacing w:line="276" w:lineRule="auto"/>
      </w:pPr>
    </w:p>
    <w:p w14:paraId="0FE64E62" w14:textId="16991D0F" w:rsidR="003E461B" w:rsidRDefault="000A56A9" w:rsidP="00FD77D2">
      <w:pPr>
        <w:pStyle w:val="AD"/>
        <w:spacing w:line="276" w:lineRule="auto"/>
      </w:pPr>
      <w:r>
        <w:rPr>
          <w:rFonts w:hint="eastAsia"/>
        </w:rPr>
        <w:t xml:space="preserve">    </w:t>
      </w:r>
      <w:r w:rsidR="003E461B">
        <w:rPr>
          <w:rFonts w:hint="eastAsia"/>
        </w:rPr>
        <w:t>八、境外贷款业务涉及跨境担保的，应根据有关规定，区分境内、境外债权人（受益人）分别报送跨境担保相关信息，境内银行因担保履约产生的对外债权应纳入其境外贷款余额统计。</w:t>
      </w:r>
    </w:p>
    <w:p w14:paraId="52BAF2EA" w14:textId="77777777" w:rsidR="000A56A9" w:rsidRDefault="000A56A9" w:rsidP="00FD77D2">
      <w:pPr>
        <w:pStyle w:val="AD"/>
        <w:spacing w:line="276" w:lineRule="auto"/>
      </w:pPr>
    </w:p>
    <w:p w14:paraId="1159CAEA" w14:textId="6905E721" w:rsidR="003E461B" w:rsidRDefault="000A56A9" w:rsidP="00FD77D2">
      <w:pPr>
        <w:pStyle w:val="AD"/>
        <w:spacing w:line="276" w:lineRule="auto"/>
      </w:pPr>
      <w:r>
        <w:rPr>
          <w:rFonts w:hint="eastAsia"/>
        </w:rPr>
        <w:t xml:space="preserve">    </w:t>
      </w:r>
      <w:r w:rsidR="003E461B">
        <w:rPr>
          <w:rFonts w:hint="eastAsia"/>
        </w:rPr>
        <w:t>九、境内银行境外贷款还款币种原则上应与贷款币种保持一致。如境外企业确无人民币收入偿还境内银行境外人民币贷款，境内代理行或境外人民币清算行与参加行可为境外企业偿还境内银行境外人民币贷款所产生的跨境人民币结算需求办理人民币购售业务。境内银行可为境外企业偿还境内银行境外人民币贷款所产生的跨境人民币结算需求提供外汇风险对冲和外汇结汇服务。</w:t>
      </w:r>
    </w:p>
    <w:p w14:paraId="67A7A8E4" w14:textId="77777777" w:rsidR="000A56A9" w:rsidRDefault="000A56A9" w:rsidP="00FD77D2">
      <w:pPr>
        <w:pStyle w:val="AD"/>
        <w:spacing w:line="276" w:lineRule="auto"/>
      </w:pPr>
    </w:p>
    <w:p w14:paraId="3CCA2729" w14:textId="26072313" w:rsidR="003E461B" w:rsidRDefault="000A56A9" w:rsidP="00FD77D2">
      <w:pPr>
        <w:pStyle w:val="AD"/>
        <w:spacing w:line="276" w:lineRule="auto"/>
      </w:pPr>
      <w:r>
        <w:rPr>
          <w:rFonts w:hint="eastAsia"/>
        </w:rPr>
        <w:t xml:space="preserve">    </w:t>
      </w:r>
      <w:r w:rsidR="003E461B">
        <w:rPr>
          <w:rFonts w:hint="eastAsia"/>
        </w:rPr>
        <w:t>十、境内银行应按照有关数据报送要求将境外本外币贷款、跨境收支、账户信息分别报送至中国人民银行和国家外汇管理局。所有境外贷款业务材料留存备查，保留期限为该笔境外贷款业务结束之日起</w:t>
      </w:r>
      <w:r w:rsidR="003E461B">
        <w:rPr>
          <w:rFonts w:hint="eastAsia"/>
        </w:rPr>
        <w:t>5</w:t>
      </w:r>
      <w:r w:rsidR="003E461B">
        <w:rPr>
          <w:rFonts w:hint="eastAsia"/>
        </w:rPr>
        <w:t>年。</w:t>
      </w:r>
    </w:p>
    <w:p w14:paraId="32E9FEB6" w14:textId="77777777" w:rsidR="000A56A9" w:rsidRDefault="000A56A9" w:rsidP="00FD77D2">
      <w:pPr>
        <w:pStyle w:val="AD"/>
        <w:spacing w:line="276" w:lineRule="auto"/>
      </w:pPr>
    </w:p>
    <w:p w14:paraId="324D138E" w14:textId="55DD4835" w:rsidR="003E461B" w:rsidRDefault="000A56A9" w:rsidP="00FD77D2">
      <w:pPr>
        <w:pStyle w:val="AD"/>
        <w:spacing w:line="276" w:lineRule="auto"/>
      </w:pPr>
      <w:r>
        <w:rPr>
          <w:rFonts w:hint="eastAsia"/>
        </w:rPr>
        <w:t xml:space="preserve">    </w:t>
      </w:r>
      <w:r w:rsidR="003E461B">
        <w:rPr>
          <w:rFonts w:hint="eastAsia"/>
        </w:rPr>
        <w:t>十一、境内银行在办理境外贷款业务时，应当遵守国家法律法规和相关主管部门的规定，遵循依法合规、审慎经营、风险可控的原则</w:t>
      </w:r>
      <w:r w:rsidR="003E461B">
        <w:rPr>
          <w:rFonts w:hint="eastAsia"/>
        </w:rPr>
        <w:t>,</w:t>
      </w:r>
      <w:r w:rsidR="003E461B">
        <w:rPr>
          <w:rFonts w:hint="eastAsia"/>
        </w:rPr>
        <w:t>切实做好境外贷款业务的风险管理工作；应按照《中华人民共和国反洗钱法》和其他有关规定，切实履行反洗钱、反恐怖融资、反逃税义务。</w:t>
      </w:r>
      <w:r w:rsidR="003E461B">
        <w:rPr>
          <w:rFonts w:hint="eastAsia"/>
        </w:rPr>
        <w:t xml:space="preserve"> </w:t>
      </w:r>
    </w:p>
    <w:p w14:paraId="37CC213A" w14:textId="77777777" w:rsidR="000A56A9" w:rsidRDefault="000A56A9" w:rsidP="00FD77D2">
      <w:pPr>
        <w:pStyle w:val="AD"/>
        <w:spacing w:line="276" w:lineRule="auto"/>
      </w:pPr>
    </w:p>
    <w:p w14:paraId="51F40940" w14:textId="2D2382F7" w:rsidR="003E461B" w:rsidRDefault="000A56A9" w:rsidP="00FD77D2">
      <w:pPr>
        <w:pStyle w:val="AD"/>
        <w:spacing w:line="276" w:lineRule="auto"/>
      </w:pPr>
      <w:r>
        <w:rPr>
          <w:rFonts w:hint="eastAsia"/>
        </w:rPr>
        <w:t xml:space="preserve">    </w:t>
      </w:r>
      <w:r w:rsidR="003E461B">
        <w:rPr>
          <w:rFonts w:hint="eastAsia"/>
        </w:rPr>
        <w:t>十二、政策性银行境外贷款以及自由贸易试验区银行境外贷款等统一按本规定模式管理，境内银行已发放境外贷款余额纳入本规定境外贷款余额计算。境内银行向境外主权类机构发放贷款业务参照本规定执行，纳入境外贷款余额统计。境内银行通过自由贸易账户分账核算单元向境外企业发放的人民币贷款，按自由贸易账户相关规定办理（使用境内总行下拨资金发放的境外企业人民币贷款需纳入境外贷款余额统计）。</w:t>
      </w:r>
    </w:p>
    <w:p w14:paraId="5A2D7C91" w14:textId="77777777" w:rsidR="000A56A9" w:rsidRDefault="000A56A9" w:rsidP="00FD77D2">
      <w:pPr>
        <w:pStyle w:val="AD"/>
        <w:spacing w:line="276" w:lineRule="auto"/>
      </w:pPr>
    </w:p>
    <w:p w14:paraId="1A13ADD9" w14:textId="1E10A3E4" w:rsidR="003E461B" w:rsidRDefault="000A56A9" w:rsidP="00FD77D2">
      <w:pPr>
        <w:pStyle w:val="AD"/>
        <w:spacing w:line="276" w:lineRule="auto"/>
      </w:pPr>
      <w:r>
        <w:rPr>
          <w:rFonts w:hint="eastAsia"/>
        </w:rPr>
        <w:t xml:space="preserve">    </w:t>
      </w:r>
      <w:r w:rsidR="003E461B">
        <w:rPr>
          <w:rFonts w:hint="eastAsia"/>
        </w:rPr>
        <w:t>十三、中国人民银行总行、国家外汇管理局对</w:t>
      </w:r>
      <w:r w:rsidR="003E461B">
        <w:rPr>
          <w:rFonts w:hint="eastAsia"/>
        </w:rPr>
        <w:t>27</w:t>
      </w:r>
      <w:r w:rsidR="003E461B">
        <w:rPr>
          <w:rFonts w:hint="eastAsia"/>
        </w:rPr>
        <w:t>家银行境外贷款业务实行统一管理，中国人民银行、国家外汇管理局副省级以上分支机构按照属地管理原则对</w:t>
      </w:r>
      <w:r w:rsidR="003E461B">
        <w:rPr>
          <w:rFonts w:hint="eastAsia"/>
        </w:rPr>
        <w:t>27</w:t>
      </w:r>
      <w:r w:rsidR="003E461B">
        <w:rPr>
          <w:rFonts w:hint="eastAsia"/>
        </w:rPr>
        <w:t>家银行以外的其他银行境外贷款业务进行管理（</w:t>
      </w:r>
      <w:r w:rsidR="003E461B">
        <w:rPr>
          <w:rFonts w:hint="eastAsia"/>
        </w:rPr>
        <w:t>27</w:t>
      </w:r>
      <w:r w:rsidR="003E461B">
        <w:rPr>
          <w:rFonts w:hint="eastAsia"/>
        </w:rPr>
        <w:t>家银行名单见附件</w:t>
      </w:r>
      <w:r w:rsidR="003E461B">
        <w:rPr>
          <w:rFonts w:hint="eastAsia"/>
        </w:rPr>
        <w:t>2</w:t>
      </w:r>
      <w:r w:rsidR="003E461B">
        <w:rPr>
          <w:rFonts w:hint="eastAsia"/>
        </w:rPr>
        <w:t>）。开展境外贷款业务的银行应于每年</w:t>
      </w:r>
      <w:r w:rsidR="003E461B">
        <w:rPr>
          <w:rFonts w:hint="eastAsia"/>
        </w:rPr>
        <w:t>6</w:t>
      </w:r>
      <w:r w:rsidR="003E461B">
        <w:rPr>
          <w:rFonts w:hint="eastAsia"/>
        </w:rPr>
        <w:t>月底之前向中国人民银行总行、国家外汇管理局或其分支机构报告最近一期经审计的资本数据、上年度境外贷款业务开展情况和本年度计划。</w:t>
      </w:r>
    </w:p>
    <w:p w14:paraId="394811E3" w14:textId="77777777" w:rsidR="000A56A9" w:rsidRDefault="000A56A9" w:rsidP="00FD77D2">
      <w:pPr>
        <w:pStyle w:val="AD"/>
        <w:spacing w:line="276" w:lineRule="auto"/>
      </w:pPr>
    </w:p>
    <w:p w14:paraId="697CEEE7" w14:textId="1CE2F5BA" w:rsidR="00B15193" w:rsidRDefault="000A56A9" w:rsidP="00FD77D2">
      <w:pPr>
        <w:pStyle w:val="AD"/>
        <w:spacing w:line="276" w:lineRule="auto"/>
      </w:pPr>
      <w:r>
        <w:rPr>
          <w:rFonts w:hint="eastAsia"/>
        </w:rPr>
        <w:t xml:space="preserve">    </w:t>
      </w:r>
      <w:r w:rsidR="003E461B">
        <w:rPr>
          <w:rFonts w:hint="eastAsia"/>
        </w:rPr>
        <w:t>十四、本规定自</w:t>
      </w:r>
      <w:r w:rsidR="003E461B">
        <w:rPr>
          <w:rFonts w:hint="eastAsia"/>
        </w:rPr>
        <w:t>XX</w:t>
      </w:r>
      <w:r w:rsidR="003E461B">
        <w:rPr>
          <w:rFonts w:hint="eastAsia"/>
        </w:rPr>
        <w:t>年</w:t>
      </w:r>
      <w:r w:rsidR="003E461B">
        <w:rPr>
          <w:rFonts w:hint="eastAsia"/>
        </w:rPr>
        <w:t>XX</w:t>
      </w:r>
      <w:r w:rsidR="003E461B">
        <w:rPr>
          <w:rFonts w:hint="eastAsia"/>
        </w:rPr>
        <w:t>月</w:t>
      </w:r>
      <w:r w:rsidR="003E461B">
        <w:rPr>
          <w:rFonts w:hint="eastAsia"/>
        </w:rPr>
        <w:t xml:space="preserve"> XX</w:t>
      </w:r>
      <w:r w:rsidR="003E461B">
        <w:rPr>
          <w:rFonts w:hint="eastAsia"/>
        </w:rPr>
        <w:t>日起实施，《中国人民银行关于政策性银行为合格境外机构办理人民币贷款业务和货币互换业务有关问题的通知》（银发〔</w:t>
      </w:r>
      <w:r w:rsidR="003E461B">
        <w:rPr>
          <w:rFonts w:hint="eastAsia"/>
        </w:rPr>
        <w:t>2007</w:t>
      </w:r>
      <w:r w:rsidR="003E461B">
        <w:rPr>
          <w:rFonts w:hint="eastAsia"/>
        </w:rPr>
        <w:t>〕</w:t>
      </w:r>
      <w:r w:rsidR="003E461B">
        <w:rPr>
          <w:rFonts w:hint="eastAsia"/>
        </w:rPr>
        <w:t>81</w:t>
      </w:r>
      <w:r w:rsidR="003E461B">
        <w:rPr>
          <w:rFonts w:hint="eastAsia"/>
        </w:rPr>
        <w:t>号）、《中国人民银行关于境内银行业金融机构境外项目人民币贷款的指导意见》（银发〔</w:t>
      </w:r>
      <w:r w:rsidR="003E461B">
        <w:rPr>
          <w:rFonts w:hint="eastAsia"/>
        </w:rPr>
        <w:t>2011</w:t>
      </w:r>
      <w:r w:rsidR="003E461B">
        <w:rPr>
          <w:rFonts w:hint="eastAsia"/>
        </w:rPr>
        <w:t>〕</w:t>
      </w:r>
      <w:r w:rsidR="003E461B">
        <w:rPr>
          <w:rFonts w:hint="eastAsia"/>
        </w:rPr>
        <w:t>255</w:t>
      </w:r>
      <w:r w:rsidR="003E461B">
        <w:rPr>
          <w:rFonts w:hint="eastAsia"/>
        </w:rPr>
        <w:t>号）同时废止。</w:t>
      </w:r>
    </w:p>
    <w:p w14:paraId="75F2BBBF" w14:textId="2D57E2D8" w:rsidR="003E461B" w:rsidRDefault="003E461B" w:rsidP="00FD77D2">
      <w:pPr>
        <w:pStyle w:val="AD"/>
        <w:spacing w:line="276" w:lineRule="auto"/>
      </w:pPr>
    </w:p>
    <w:p w14:paraId="59F45E42" w14:textId="77777777" w:rsidR="003E461B" w:rsidRDefault="003E461B" w:rsidP="00FD77D2">
      <w:pPr>
        <w:pStyle w:val="AD"/>
        <w:spacing w:line="276" w:lineRule="auto"/>
      </w:pPr>
      <w:r>
        <w:rPr>
          <w:rFonts w:hint="eastAsia"/>
        </w:rPr>
        <w:lastRenderedPageBreak/>
        <w:t>附件：</w:t>
      </w:r>
    </w:p>
    <w:p w14:paraId="13B98CA6" w14:textId="3E3A3447" w:rsidR="003E461B" w:rsidRDefault="003E461B" w:rsidP="00FD77D2">
      <w:pPr>
        <w:pStyle w:val="AD"/>
        <w:spacing w:line="276" w:lineRule="auto"/>
      </w:pPr>
      <w:r>
        <w:rPr>
          <w:rFonts w:hint="eastAsia"/>
        </w:rPr>
        <w:t xml:space="preserve">1. </w:t>
      </w:r>
      <w:r>
        <w:rPr>
          <w:rFonts w:hint="eastAsia"/>
        </w:rPr>
        <w:t>参数设置</w:t>
      </w:r>
    </w:p>
    <w:p w14:paraId="1FA64ABE" w14:textId="7771EB8D" w:rsidR="003E461B" w:rsidRDefault="003E461B" w:rsidP="00FD77D2">
      <w:pPr>
        <w:pStyle w:val="AD"/>
        <w:spacing w:line="276" w:lineRule="auto"/>
      </w:pPr>
      <w:r>
        <w:rPr>
          <w:rFonts w:hint="eastAsia"/>
        </w:rPr>
        <w:t>2. 27</w:t>
      </w:r>
      <w:r>
        <w:rPr>
          <w:rFonts w:hint="eastAsia"/>
        </w:rPr>
        <w:t>家银行类金融机构名单</w:t>
      </w:r>
    </w:p>
    <w:p w14:paraId="686678EE" w14:textId="31CA0EAE" w:rsidR="003E461B" w:rsidRDefault="003E461B" w:rsidP="00FD77D2">
      <w:pPr>
        <w:pStyle w:val="AD"/>
        <w:spacing w:line="276" w:lineRule="auto"/>
      </w:pPr>
    </w:p>
    <w:p w14:paraId="2FA1EB99" w14:textId="71D823DF" w:rsidR="000A56A9" w:rsidRDefault="000A56A9" w:rsidP="00FD77D2">
      <w:pPr>
        <w:pStyle w:val="AD"/>
        <w:spacing w:line="276" w:lineRule="auto"/>
      </w:pPr>
    </w:p>
    <w:p w14:paraId="4B648679" w14:textId="77777777" w:rsidR="000A56A9" w:rsidRPr="003E461B" w:rsidRDefault="000A56A9" w:rsidP="000A56A9">
      <w:pPr>
        <w:widowControl/>
        <w:overflowPunct/>
        <w:spacing w:line="276" w:lineRule="auto"/>
        <w:jc w:val="left"/>
      </w:pPr>
      <w:r w:rsidRPr="003E461B">
        <w:rPr>
          <w:rFonts w:hint="eastAsia"/>
        </w:rPr>
        <w:t>附件</w:t>
      </w:r>
      <w:r w:rsidRPr="003E461B">
        <w:rPr>
          <w:rFonts w:hint="eastAsia"/>
        </w:rPr>
        <w:t>1</w:t>
      </w:r>
    </w:p>
    <w:p w14:paraId="6A87B3E9" w14:textId="77777777" w:rsidR="000A56A9" w:rsidRPr="000A56A9" w:rsidRDefault="000A56A9" w:rsidP="000A56A9">
      <w:pPr>
        <w:pStyle w:val="AD"/>
        <w:spacing w:line="276" w:lineRule="auto"/>
        <w:jc w:val="center"/>
        <w:rPr>
          <w:b/>
          <w:bCs/>
          <w:sz w:val="28"/>
          <w:szCs w:val="28"/>
        </w:rPr>
      </w:pPr>
      <w:r w:rsidRPr="000A56A9">
        <w:rPr>
          <w:rFonts w:hint="eastAsia"/>
          <w:b/>
          <w:bCs/>
          <w:sz w:val="28"/>
          <w:szCs w:val="28"/>
        </w:rPr>
        <w:t>参数设置</w:t>
      </w:r>
    </w:p>
    <w:p w14:paraId="730DD752" w14:textId="77777777" w:rsidR="000A56A9" w:rsidRPr="003E461B" w:rsidRDefault="000A56A9" w:rsidP="000A56A9">
      <w:pPr>
        <w:pStyle w:val="AD"/>
        <w:spacing w:line="276" w:lineRule="auto"/>
        <w:jc w:val="center"/>
      </w:pPr>
    </w:p>
    <w:tbl>
      <w:tblPr>
        <w:tblStyle w:val="a9"/>
        <w:tblW w:w="0" w:type="auto"/>
        <w:jc w:val="center"/>
        <w:tblLook w:val="04A0" w:firstRow="1" w:lastRow="0" w:firstColumn="1" w:lastColumn="0" w:noHBand="0" w:noVBand="1"/>
      </w:tblPr>
      <w:tblGrid>
        <w:gridCol w:w="2916"/>
        <w:gridCol w:w="3288"/>
        <w:gridCol w:w="2318"/>
      </w:tblGrid>
      <w:tr w:rsidR="000A56A9" w:rsidRPr="003E461B" w14:paraId="003E1F1C" w14:textId="77777777" w:rsidTr="0046139C">
        <w:trPr>
          <w:jc w:val="center"/>
        </w:trPr>
        <w:tc>
          <w:tcPr>
            <w:tcW w:w="2916" w:type="dxa"/>
            <w:vMerge w:val="restart"/>
            <w:vAlign w:val="center"/>
          </w:tcPr>
          <w:p w14:paraId="750A5148" w14:textId="77777777" w:rsidR="000A56A9" w:rsidRPr="003E461B" w:rsidRDefault="000A56A9" w:rsidP="0046139C">
            <w:pPr>
              <w:pStyle w:val="AD"/>
              <w:spacing w:line="276" w:lineRule="auto"/>
            </w:pPr>
            <w:r w:rsidRPr="003E461B">
              <w:rPr>
                <w:rFonts w:hint="eastAsia"/>
              </w:rPr>
              <w:t>境外贷款杠杆率</w:t>
            </w:r>
          </w:p>
        </w:tc>
        <w:tc>
          <w:tcPr>
            <w:tcW w:w="3288" w:type="dxa"/>
            <w:vAlign w:val="center"/>
          </w:tcPr>
          <w:p w14:paraId="27DD37F6" w14:textId="77777777" w:rsidR="000A56A9" w:rsidRPr="003E461B" w:rsidRDefault="000A56A9" w:rsidP="0046139C">
            <w:pPr>
              <w:pStyle w:val="AD"/>
              <w:spacing w:line="276" w:lineRule="auto"/>
            </w:pPr>
            <w:r w:rsidRPr="003E461B">
              <w:rPr>
                <w:rFonts w:hint="eastAsia"/>
              </w:rPr>
              <w:t>国家开发银行</w:t>
            </w:r>
          </w:p>
        </w:tc>
        <w:tc>
          <w:tcPr>
            <w:tcW w:w="2318" w:type="dxa"/>
            <w:vMerge w:val="restart"/>
            <w:vAlign w:val="center"/>
          </w:tcPr>
          <w:p w14:paraId="6CB89522" w14:textId="77777777" w:rsidR="000A56A9" w:rsidRPr="003E461B" w:rsidRDefault="000A56A9" w:rsidP="0046139C">
            <w:pPr>
              <w:pStyle w:val="AD"/>
              <w:spacing w:line="276" w:lineRule="auto"/>
            </w:pPr>
            <w:r w:rsidRPr="003E461B">
              <w:rPr>
                <w:rFonts w:hint="eastAsia"/>
              </w:rPr>
              <w:t>1.5</w:t>
            </w:r>
          </w:p>
        </w:tc>
      </w:tr>
      <w:tr w:rsidR="000A56A9" w:rsidRPr="003E461B" w14:paraId="0A00FBF3" w14:textId="77777777" w:rsidTr="0046139C">
        <w:trPr>
          <w:jc w:val="center"/>
        </w:trPr>
        <w:tc>
          <w:tcPr>
            <w:tcW w:w="2916" w:type="dxa"/>
            <w:vMerge/>
            <w:vAlign w:val="center"/>
          </w:tcPr>
          <w:p w14:paraId="6A3C1C0F" w14:textId="77777777" w:rsidR="000A56A9" w:rsidRPr="003E461B" w:rsidRDefault="000A56A9" w:rsidP="0046139C">
            <w:pPr>
              <w:pStyle w:val="AD"/>
              <w:spacing w:line="276" w:lineRule="auto"/>
            </w:pPr>
          </w:p>
        </w:tc>
        <w:tc>
          <w:tcPr>
            <w:tcW w:w="3288" w:type="dxa"/>
            <w:vAlign w:val="center"/>
          </w:tcPr>
          <w:p w14:paraId="1F0D4FB5" w14:textId="77777777" w:rsidR="000A56A9" w:rsidRPr="003E461B" w:rsidRDefault="000A56A9" w:rsidP="0046139C">
            <w:pPr>
              <w:pStyle w:val="AD"/>
              <w:spacing w:line="276" w:lineRule="auto"/>
            </w:pPr>
            <w:r w:rsidRPr="003E461B">
              <w:rPr>
                <w:rFonts w:hint="eastAsia"/>
              </w:rPr>
              <w:t>进出口银行</w:t>
            </w:r>
          </w:p>
        </w:tc>
        <w:tc>
          <w:tcPr>
            <w:tcW w:w="2318" w:type="dxa"/>
            <w:vMerge/>
            <w:vAlign w:val="center"/>
          </w:tcPr>
          <w:p w14:paraId="5CB795F7" w14:textId="77777777" w:rsidR="000A56A9" w:rsidRPr="003E461B" w:rsidRDefault="000A56A9" w:rsidP="0046139C">
            <w:pPr>
              <w:pStyle w:val="AD"/>
              <w:spacing w:line="276" w:lineRule="auto"/>
            </w:pPr>
          </w:p>
        </w:tc>
      </w:tr>
      <w:tr w:rsidR="000A56A9" w:rsidRPr="003E461B" w14:paraId="14D36FFB" w14:textId="77777777" w:rsidTr="0046139C">
        <w:trPr>
          <w:jc w:val="center"/>
        </w:trPr>
        <w:tc>
          <w:tcPr>
            <w:tcW w:w="2916" w:type="dxa"/>
            <w:vMerge/>
            <w:vAlign w:val="center"/>
          </w:tcPr>
          <w:p w14:paraId="62CE5D3C" w14:textId="77777777" w:rsidR="000A56A9" w:rsidRPr="003E461B" w:rsidRDefault="000A56A9" w:rsidP="0046139C">
            <w:pPr>
              <w:pStyle w:val="AD"/>
              <w:spacing w:line="276" w:lineRule="auto"/>
            </w:pPr>
          </w:p>
        </w:tc>
        <w:tc>
          <w:tcPr>
            <w:tcW w:w="3288" w:type="dxa"/>
            <w:vAlign w:val="center"/>
          </w:tcPr>
          <w:p w14:paraId="21DBBD56" w14:textId="77777777" w:rsidR="000A56A9" w:rsidRPr="003E461B" w:rsidRDefault="000A56A9" w:rsidP="0046139C">
            <w:pPr>
              <w:pStyle w:val="AD"/>
              <w:spacing w:line="276" w:lineRule="auto"/>
            </w:pPr>
            <w:r w:rsidRPr="003E461B">
              <w:rPr>
                <w:rFonts w:hint="eastAsia"/>
              </w:rPr>
              <w:t>其他银行</w:t>
            </w:r>
          </w:p>
        </w:tc>
        <w:tc>
          <w:tcPr>
            <w:tcW w:w="2318" w:type="dxa"/>
            <w:vAlign w:val="center"/>
          </w:tcPr>
          <w:p w14:paraId="05FB4D5C" w14:textId="77777777" w:rsidR="000A56A9" w:rsidRPr="003E461B" w:rsidRDefault="000A56A9" w:rsidP="0046139C">
            <w:pPr>
              <w:pStyle w:val="AD"/>
              <w:spacing w:line="276" w:lineRule="auto"/>
            </w:pPr>
            <w:r w:rsidRPr="003E461B">
              <w:rPr>
                <w:rFonts w:hint="eastAsia"/>
              </w:rPr>
              <w:t>0.5</w:t>
            </w:r>
          </w:p>
        </w:tc>
      </w:tr>
      <w:tr w:rsidR="000A56A9" w:rsidRPr="003E461B" w14:paraId="626F7912" w14:textId="77777777" w:rsidTr="0046139C">
        <w:trPr>
          <w:jc w:val="center"/>
        </w:trPr>
        <w:tc>
          <w:tcPr>
            <w:tcW w:w="2916" w:type="dxa"/>
            <w:vAlign w:val="center"/>
          </w:tcPr>
          <w:p w14:paraId="0E7BB472" w14:textId="77777777" w:rsidR="000A56A9" w:rsidRPr="003E461B" w:rsidRDefault="000A56A9" w:rsidP="0046139C">
            <w:pPr>
              <w:pStyle w:val="AD"/>
              <w:spacing w:line="276" w:lineRule="auto"/>
            </w:pPr>
            <w:r w:rsidRPr="003E461B">
              <w:rPr>
                <w:rFonts w:hint="eastAsia"/>
              </w:rPr>
              <w:t>宏观审慎调节参数</w:t>
            </w:r>
          </w:p>
        </w:tc>
        <w:tc>
          <w:tcPr>
            <w:tcW w:w="5606" w:type="dxa"/>
            <w:gridSpan w:val="2"/>
            <w:vAlign w:val="center"/>
          </w:tcPr>
          <w:p w14:paraId="3AC63F19" w14:textId="77777777" w:rsidR="000A56A9" w:rsidRPr="003E461B" w:rsidRDefault="000A56A9" w:rsidP="0046139C">
            <w:pPr>
              <w:pStyle w:val="AD"/>
              <w:spacing w:line="276" w:lineRule="auto"/>
            </w:pPr>
            <w:r w:rsidRPr="003E461B">
              <w:rPr>
                <w:rFonts w:hint="eastAsia"/>
              </w:rPr>
              <w:t>1</w:t>
            </w:r>
          </w:p>
        </w:tc>
      </w:tr>
      <w:tr w:rsidR="000A56A9" w:rsidRPr="003E461B" w14:paraId="115B1F82" w14:textId="77777777" w:rsidTr="0046139C">
        <w:trPr>
          <w:jc w:val="center"/>
        </w:trPr>
        <w:tc>
          <w:tcPr>
            <w:tcW w:w="2916" w:type="dxa"/>
            <w:vAlign w:val="center"/>
          </w:tcPr>
          <w:p w14:paraId="6984A352" w14:textId="77777777" w:rsidR="000A56A9" w:rsidRPr="003E461B" w:rsidRDefault="000A56A9" w:rsidP="0046139C">
            <w:pPr>
              <w:pStyle w:val="AD"/>
              <w:spacing w:line="276" w:lineRule="auto"/>
            </w:pPr>
            <w:r w:rsidRPr="003E461B">
              <w:rPr>
                <w:rFonts w:hint="eastAsia"/>
              </w:rPr>
              <w:t>汇率风险折算因子</w:t>
            </w:r>
          </w:p>
        </w:tc>
        <w:tc>
          <w:tcPr>
            <w:tcW w:w="5606" w:type="dxa"/>
            <w:gridSpan w:val="2"/>
            <w:vAlign w:val="center"/>
          </w:tcPr>
          <w:p w14:paraId="207A5D54" w14:textId="77777777" w:rsidR="000A56A9" w:rsidRPr="003E461B" w:rsidRDefault="000A56A9" w:rsidP="0046139C">
            <w:pPr>
              <w:pStyle w:val="AD"/>
              <w:spacing w:line="276" w:lineRule="auto"/>
            </w:pPr>
            <w:r w:rsidRPr="003E461B">
              <w:rPr>
                <w:rFonts w:hint="eastAsia"/>
              </w:rPr>
              <w:t>0.5</w:t>
            </w:r>
          </w:p>
        </w:tc>
      </w:tr>
      <w:tr w:rsidR="000A56A9" w:rsidRPr="003E461B" w14:paraId="44CD100B" w14:textId="77777777" w:rsidTr="0046139C">
        <w:trPr>
          <w:jc w:val="center"/>
        </w:trPr>
        <w:tc>
          <w:tcPr>
            <w:tcW w:w="8522" w:type="dxa"/>
            <w:gridSpan w:val="3"/>
            <w:vAlign w:val="center"/>
          </w:tcPr>
          <w:p w14:paraId="6FD47658" w14:textId="77777777" w:rsidR="000A56A9" w:rsidRPr="003E461B" w:rsidRDefault="000A56A9" w:rsidP="0046139C">
            <w:pPr>
              <w:pStyle w:val="AD"/>
              <w:spacing w:line="276" w:lineRule="auto"/>
            </w:pPr>
            <w:r w:rsidRPr="003E461B">
              <w:rPr>
                <w:rFonts w:hint="eastAsia"/>
              </w:rPr>
              <w:t>一级资本净额（外国银行境内分行按营运资金计）≦</w:t>
            </w:r>
            <w:r w:rsidRPr="003E461B">
              <w:rPr>
                <w:rFonts w:hint="eastAsia"/>
              </w:rPr>
              <w:t>20</w:t>
            </w:r>
            <w:r w:rsidRPr="003E461B">
              <w:rPr>
                <w:rFonts w:hint="eastAsia"/>
              </w:rPr>
              <w:t>亿元的银行，境外贷款余额上限</w:t>
            </w:r>
            <w:r w:rsidRPr="003E461B">
              <w:rPr>
                <w:rFonts w:hint="eastAsia"/>
              </w:rPr>
              <w:t>=</w:t>
            </w:r>
            <w:r w:rsidRPr="003E461B">
              <w:rPr>
                <w:rFonts w:hint="eastAsia"/>
              </w:rPr>
              <w:t>境内银行一级资本净额（外国银行境内分行按营运资金计）</w:t>
            </w:r>
            <w:r w:rsidRPr="003E461B">
              <w:t>*</w:t>
            </w:r>
            <w:r w:rsidRPr="003E461B">
              <w:rPr>
                <w:rFonts w:hint="eastAsia"/>
              </w:rPr>
              <w:t>境外贷款杠杆率</w:t>
            </w:r>
            <w:r w:rsidRPr="003E461B">
              <w:t>*</w:t>
            </w:r>
            <w:r w:rsidRPr="003E461B">
              <w:rPr>
                <w:rFonts w:hint="eastAsia"/>
              </w:rPr>
              <w:t>宏观审慎调节参数</w:t>
            </w:r>
            <w:r w:rsidRPr="003E461B">
              <w:rPr>
                <w:rFonts w:hint="eastAsia"/>
              </w:rPr>
              <w:t>+20</w:t>
            </w:r>
            <w:r w:rsidRPr="003E461B">
              <w:rPr>
                <w:rFonts w:hint="eastAsia"/>
              </w:rPr>
              <w:t>亿元初始额度。</w:t>
            </w:r>
          </w:p>
        </w:tc>
      </w:tr>
    </w:tbl>
    <w:p w14:paraId="09ED5C6D" w14:textId="77777777" w:rsidR="000A56A9" w:rsidRDefault="000A56A9" w:rsidP="000A56A9">
      <w:pPr>
        <w:pStyle w:val="AD"/>
        <w:spacing w:line="276" w:lineRule="auto"/>
      </w:pPr>
    </w:p>
    <w:p w14:paraId="71FF80AF" w14:textId="77777777" w:rsidR="000A56A9" w:rsidRDefault="000A56A9" w:rsidP="000A56A9">
      <w:pPr>
        <w:widowControl/>
        <w:overflowPunct/>
        <w:spacing w:line="276" w:lineRule="auto"/>
        <w:jc w:val="left"/>
      </w:pPr>
    </w:p>
    <w:p w14:paraId="71F8B787" w14:textId="77777777" w:rsidR="000A56A9" w:rsidRDefault="000A56A9" w:rsidP="000A56A9">
      <w:pPr>
        <w:pStyle w:val="AD"/>
        <w:spacing w:line="276" w:lineRule="auto"/>
      </w:pPr>
      <w:r>
        <w:rPr>
          <w:rFonts w:hint="eastAsia"/>
        </w:rPr>
        <w:t>附件</w:t>
      </w:r>
      <w:r>
        <w:rPr>
          <w:rFonts w:hint="eastAsia"/>
        </w:rPr>
        <w:t>2</w:t>
      </w:r>
    </w:p>
    <w:p w14:paraId="6DA59CEB" w14:textId="77777777" w:rsidR="000A56A9" w:rsidRPr="000A56A9" w:rsidRDefault="000A56A9" w:rsidP="000A56A9">
      <w:pPr>
        <w:pStyle w:val="AD"/>
        <w:spacing w:line="276" w:lineRule="auto"/>
        <w:jc w:val="center"/>
        <w:rPr>
          <w:b/>
          <w:bCs/>
          <w:sz w:val="28"/>
          <w:szCs w:val="28"/>
        </w:rPr>
      </w:pPr>
      <w:r w:rsidRPr="000A56A9">
        <w:rPr>
          <w:rFonts w:hint="eastAsia"/>
          <w:b/>
          <w:bCs/>
          <w:sz w:val="28"/>
          <w:szCs w:val="28"/>
        </w:rPr>
        <w:t>27</w:t>
      </w:r>
      <w:r w:rsidRPr="000A56A9">
        <w:rPr>
          <w:rFonts w:hint="eastAsia"/>
          <w:b/>
          <w:bCs/>
          <w:sz w:val="28"/>
          <w:szCs w:val="28"/>
        </w:rPr>
        <w:t>家银行类金融机构名单</w:t>
      </w:r>
    </w:p>
    <w:p w14:paraId="0581CC59" w14:textId="77777777" w:rsidR="000A56A9" w:rsidRPr="00FC1277" w:rsidRDefault="000A56A9" w:rsidP="000A56A9">
      <w:pPr>
        <w:pStyle w:val="AD"/>
        <w:spacing w:line="276" w:lineRule="auto"/>
        <w:jc w:val="center"/>
        <w:rPr>
          <w:b/>
          <w:bCs/>
          <w:color w:val="E36C0A" w:themeColor="accent6" w:themeShade="BF"/>
          <w:sz w:val="32"/>
          <w:szCs w:val="32"/>
        </w:rPr>
      </w:pPr>
      <w:r w:rsidRPr="00FC1277">
        <w:rPr>
          <w:b/>
          <w:bCs/>
          <w:color w:val="E36C0A" w:themeColor="accent6" w:themeShade="BF"/>
          <w:sz w:val="32"/>
          <w:szCs w:val="32"/>
        </w:rPr>
        <w:t xml:space="preserve"> </w:t>
      </w:r>
    </w:p>
    <w:p w14:paraId="5F89383D" w14:textId="77777777" w:rsidR="000A56A9" w:rsidRDefault="000A56A9" w:rsidP="000A56A9">
      <w:pPr>
        <w:pStyle w:val="AD"/>
        <w:spacing w:line="276" w:lineRule="auto"/>
      </w:pPr>
      <w:r>
        <w:rPr>
          <w:rFonts w:hint="eastAsia"/>
        </w:rPr>
        <w:t>1.</w:t>
      </w:r>
      <w:r>
        <w:rPr>
          <w:rFonts w:hint="eastAsia"/>
        </w:rPr>
        <w:t>国家开发银行</w:t>
      </w:r>
    </w:p>
    <w:p w14:paraId="2E3F680F" w14:textId="77777777" w:rsidR="000A56A9" w:rsidRDefault="000A56A9" w:rsidP="000A56A9">
      <w:pPr>
        <w:pStyle w:val="AD"/>
        <w:spacing w:line="276" w:lineRule="auto"/>
      </w:pPr>
      <w:r>
        <w:rPr>
          <w:rFonts w:hint="eastAsia"/>
        </w:rPr>
        <w:t>2.</w:t>
      </w:r>
      <w:r>
        <w:rPr>
          <w:rFonts w:hint="eastAsia"/>
        </w:rPr>
        <w:t>进出口银行</w:t>
      </w:r>
    </w:p>
    <w:p w14:paraId="5187D081" w14:textId="77777777" w:rsidR="000A56A9" w:rsidRDefault="000A56A9" w:rsidP="000A56A9">
      <w:pPr>
        <w:pStyle w:val="AD"/>
        <w:spacing w:line="276" w:lineRule="auto"/>
      </w:pPr>
      <w:r>
        <w:rPr>
          <w:rFonts w:hint="eastAsia"/>
        </w:rPr>
        <w:t>3.</w:t>
      </w:r>
      <w:r>
        <w:rPr>
          <w:rFonts w:hint="eastAsia"/>
        </w:rPr>
        <w:t>农业发展银行</w:t>
      </w:r>
    </w:p>
    <w:p w14:paraId="6256C286" w14:textId="77777777" w:rsidR="000A56A9" w:rsidRDefault="000A56A9" w:rsidP="000A56A9">
      <w:pPr>
        <w:pStyle w:val="AD"/>
        <w:spacing w:line="276" w:lineRule="auto"/>
      </w:pPr>
      <w:r>
        <w:rPr>
          <w:rFonts w:hint="eastAsia"/>
        </w:rPr>
        <w:t>4.</w:t>
      </w:r>
      <w:r>
        <w:rPr>
          <w:rFonts w:hint="eastAsia"/>
        </w:rPr>
        <w:t>中国工商银行</w:t>
      </w:r>
    </w:p>
    <w:p w14:paraId="35716A78" w14:textId="77777777" w:rsidR="000A56A9" w:rsidRDefault="000A56A9" w:rsidP="000A56A9">
      <w:pPr>
        <w:pStyle w:val="AD"/>
        <w:spacing w:line="276" w:lineRule="auto"/>
      </w:pPr>
      <w:r>
        <w:rPr>
          <w:rFonts w:hint="eastAsia"/>
        </w:rPr>
        <w:t>5.</w:t>
      </w:r>
      <w:r>
        <w:rPr>
          <w:rFonts w:hint="eastAsia"/>
        </w:rPr>
        <w:t>中国农业银行</w:t>
      </w:r>
    </w:p>
    <w:p w14:paraId="5B0E44A0" w14:textId="77777777" w:rsidR="000A56A9" w:rsidRDefault="000A56A9" w:rsidP="000A56A9">
      <w:pPr>
        <w:pStyle w:val="AD"/>
        <w:spacing w:line="276" w:lineRule="auto"/>
      </w:pPr>
      <w:r>
        <w:rPr>
          <w:rFonts w:hint="eastAsia"/>
        </w:rPr>
        <w:t>6.</w:t>
      </w:r>
      <w:r>
        <w:rPr>
          <w:rFonts w:hint="eastAsia"/>
        </w:rPr>
        <w:t>中国银行</w:t>
      </w:r>
    </w:p>
    <w:p w14:paraId="4D6B8F75" w14:textId="77777777" w:rsidR="000A56A9" w:rsidRDefault="000A56A9" w:rsidP="000A56A9">
      <w:pPr>
        <w:pStyle w:val="AD"/>
        <w:spacing w:line="276" w:lineRule="auto"/>
      </w:pPr>
      <w:r>
        <w:rPr>
          <w:rFonts w:hint="eastAsia"/>
        </w:rPr>
        <w:t>7.</w:t>
      </w:r>
      <w:r>
        <w:rPr>
          <w:rFonts w:hint="eastAsia"/>
        </w:rPr>
        <w:t>中国建设银行</w:t>
      </w:r>
    </w:p>
    <w:p w14:paraId="326B5379" w14:textId="77777777" w:rsidR="000A56A9" w:rsidRDefault="000A56A9" w:rsidP="000A56A9">
      <w:pPr>
        <w:pStyle w:val="AD"/>
        <w:spacing w:line="276" w:lineRule="auto"/>
      </w:pPr>
      <w:r>
        <w:rPr>
          <w:rFonts w:hint="eastAsia"/>
        </w:rPr>
        <w:t>8.</w:t>
      </w:r>
      <w:r>
        <w:rPr>
          <w:rFonts w:hint="eastAsia"/>
        </w:rPr>
        <w:t>交通银行</w:t>
      </w:r>
    </w:p>
    <w:p w14:paraId="5A6E05DF" w14:textId="77777777" w:rsidR="000A56A9" w:rsidRDefault="000A56A9" w:rsidP="000A56A9">
      <w:pPr>
        <w:pStyle w:val="AD"/>
        <w:spacing w:line="276" w:lineRule="auto"/>
      </w:pPr>
      <w:r>
        <w:rPr>
          <w:rFonts w:hint="eastAsia"/>
        </w:rPr>
        <w:t>9.</w:t>
      </w:r>
      <w:r>
        <w:rPr>
          <w:rFonts w:hint="eastAsia"/>
        </w:rPr>
        <w:t>中信银行</w:t>
      </w:r>
    </w:p>
    <w:p w14:paraId="49E42FB3" w14:textId="77777777" w:rsidR="000A56A9" w:rsidRDefault="000A56A9" w:rsidP="000A56A9">
      <w:pPr>
        <w:pStyle w:val="AD"/>
        <w:spacing w:line="276" w:lineRule="auto"/>
      </w:pPr>
      <w:r>
        <w:rPr>
          <w:rFonts w:hint="eastAsia"/>
        </w:rPr>
        <w:t>10.</w:t>
      </w:r>
      <w:r>
        <w:rPr>
          <w:rFonts w:hint="eastAsia"/>
        </w:rPr>
        <w:t>中国光大银行</w:t>
      </w:r>
    </w:p>
    <w:p w14:paraId="5206D140" w14:textId="77777777" w:rsidR="000A56A9" w:rsidRDefault="000A56A9" w:rsidP="000A56A9">
      <w:pPr>
        <w:pStyle w:val="AD"/>
        <w:spacing w:line="276" w:lineRule="auto"/>
      </w:pPr>
      <w:r>
        <w:rPr>
          <w:rFonts w:hint="eastAsia"/>
        </w:rPr>
        <w:t>11.</w:t>
      </w:r>
      <w:r>
        <w:rPr>
          <w:rFonts w:hint="eastAsia"/>
        </w:rPr>
        <w:t>华夏银行</w:t>
      </w:r>
    </w:p>
    <w:p w14:paraId="6A965B50" w14:textId="77777777" w:rsidR="000A56A9" w:rsidRDefault="000A56A9" w:rsidP="000A56A9">
      <w:pPr>
        <w:pStyle w:val="AD"/>
        <w:spacing w:line="276" w:lineRule="auto"/>
      </w:pPr>
      <w:r>
        <w:rPr>
          <w:rFonts w:hint="eastAsia"/>
        </w:rPr>
        <w:t>12.</w:t>
      </w:r>
      <w:r>
        <w:rPr>
          <w:rFonts w:hint="eastAsia"/>
        </w:rPr>
        <w:t>中国民生银行</w:t>
      </w:r>
    </w:p>
    <w:p w14:paraId="253A0ED0" w14:textId="77777777" w:rsidR="000A56A9" w:rsidRDefault="000A56A9" w:rsidP="000A56A9">
      <w:pPr>
        <w:pStyle w:val="AD"/>
        <w:spacing w:line="276" w:lineRule="auto"/>
      </w:pPr>
      <w:r>
        <w:rPr>
          <w:rFonts w:hint="eastAsia"/>
        </w:rPr>
        <w:t>13.</w:t>
      </w:r>
      <w:r>
        <w:rPr>
          <w:rFonts w:hint="eastAsia"/>
        </w:rPr>
        <w:t>招商银行</w:t>
      </w:r>
    </w:p>
    <w:p w14:paraId="3F5719FA" w14:textId="77777777" w:rsidR="000A56A9" w:rsidRDefault="000A56A9" w:rsidP="000A56A9">
      <w:pPr>
        <w:pStyle w:val="AD"/>
        <w:spacing w:line="276" w:lineRule="auto"/>
      </w:pPr>
      <w:r>
        <w:rPr>
          <w:rFonts w:hint="eastAsia"/>
        </w:rPr>
        <w:t>14.</w:t>
      </w:r>
      <w:r>
        <w:rPr>
          <w:rFonts w:hint="eastAsia"/>
        </w:rPr>
        <w:t>兴业银行</w:t>
      </w:r>
    </w:p>
    <w:p w14:paraId="0B8C728D" w14:textId="77777777" w:rsidR="000A56A9" w:rsidRDefault="000A56A9" w:rsidP="000A56A9">
      <w:pPr>
        <w:pStyle w:val="AD"/>
        <w:spacing w:line="276" w:lineRule="auto"/>
      </w:pPr>
      <w:r>
        <w:rPr>
          <w:rFonts w:hint="eastAsia"/>
        </w:rPr>
        <w:t>15.</w:t>
      </w:r>
      <w:r>
        <w:rPr>
          <w:rFonts w:hint="eastAsia"/>
        </w:rPr>
        <w:t>广发银行</w:t>
      </w:r>
    </w:p>
    <w:p w14:paraId="26133FD3" w14:textId="77777777" w:rsidR="000A56A9" w:rsidRDefault="000A56A9" w:rsidP="000A56A9">
      <w:pPr>
        <w:pStyle w:val="AD"/>
        <w:spacing w:line="276" w:lineRule="auto"/>
      </w:pPr>
      <w:r>
        <w:rPr>
          <w:rFonts w:hint="eastAsia"/>
        </w:rPr>
        <w:t>16.</w:t>
      </w:r>
      <w:r>
        <w:rPr>
          <w:rFonts w:hint="eastAsia"/>
        </w:rPr>
        <w:t>平安银行</w:t>
      </w:r>
    </w:p>
    <w:p w14:paraId="4B8448C2" w14:textId="77777777" w:rsidR="000A56A9" w:rsidRDefault="000A56A9" w:rsidP="000A56A9">
      <w:pPr>
        <w:pStyle w:val="AD"/>
        <w:spacing w:line="276" w:lineRule="auto"/>
      </w:pPr>
      <w:r>
        <w:rPr>
          <w:rFonts w:hint="eastAsia"/>
        </w:rPr>
        <w:lastRenderedPageBreak/>
        <w:t>17.</w:t>
      </w:r>
      <w:r>
        <w:rPr>
          <w:rFonts w:hint="eastAsia"/>
        </w:rPr>
        <w:t>浦发银行</w:t>
      </w:r>
    </w:p>
    <w:p w14:paraId="2CE822C7" w14:textId="77777777" w:rsidR="000A56A9" w:rsidRDefault="000A56A9" w:rsidP="000A56A9">
      <w:pPr>
        <w:pStyle w:val="AD"/>
        <w:spacing w:line="276" w:lineRule="auto"/>
      </w:pPr>
      <w:r>
        <w:rPr>
          <w:rFonts w:hint="eastAsia"/>
        </w:rPr>
        <w:t>18.</w:t>
      </w:r>
      <w:r>
        <w:rPr>
          <w:rFonts w:hint="eastAsia"/>
        </w:rPr>
        <w:t>恒丰银行</w:t>
      </w:r>
    </w:p>
    <w:p w14:paraId="608B0023" w14:textId="77777777" w:rsidR="000A56A9" w:rsidRDefault="000A56A9" w:rsidP="000A56A9">
      <w:pPr>
        <w:pStyle w:val="AD"/>
        <w:spacing w:line="276" w:lineRule="auto"/>
      </w:pPr>
      <w:r>
        <w:rPr>
          <w:rFonts w:hint="eastAsia"/>
        </w:rPr>
        <w:t>19.</w:t>
      </w:r>
      <w:r>
        <w:rPr>
          <w:rFonts w:hint="eastAsia"/>
        </w:rPr>
        <w:t>浙商银行</w:t>
      </w:r>
    </w:p>
    <w:p w14:paraId="4F91225E" w14:textId="77777777" w:rsidR="000A56A9" w:rsidRDefault="000A56A9" w:rsidP="000A56A9">
      <w:pPr>
        <w:pStyle w:val="AD"/>
        <w:spacing w:line="276" w:lineRule="auto"/>
      </w:pPr>
      <w:r>
        <w:rPr>
          <w:rFonts w:hint="eastAsia"/>
        </w:rPr>
        <w:t>20.</w:t>
      </w:r>
      <w:r>
        <w:rPr>
          <w:rFonts w:hint="eastAsia"/>
        </w:rPr>
        <w:t>渤海银行</w:t>
      </w:r>
    </w:p>
    <w:p w14:paraId="0DE06052" w14:textId="77777777" w:rsidR="000A56A9" w:rsidRDefault="000A56A9" w:rsidP="000A56A9">
      <w:pPr>
        <w:pStyle w:val="AD"/>
        <w:spacing w:line="276" w:lineRule="auto"/>
      </w:pPr>
      <w:r>
        <w:rPr>
          <w:rFonts w:hint="eastAsia"/>
        </w:rPr>
        <w:t>21.</w:t>
      </w:r>
      <w:r>
        <w:rPr>
          <w:rFonts w:hint="eastAsia"/>
        </w:rPr>
        <w:t>中国邮政储蓄银行</w:t>
      </w:r>
    </w:p>
    <w:p w14:paraId="73DBDA0A" w14:textId="77777777" w:rsidR="000A56A9" w:rsidRDefault="000A56A9" w:rsidP="000A56A9">
      <w:pPr>
        <w:pStyle w:val="AD"/>
        <w:spacing w:line="276" w:lineRule="auto"/>
      </w:pPr>
      <w:r>
        <w:rPr>
          <w:rFonts w:hint="eastAsia"/>
        </w:rPr>
        <w:t>22.</w:t>
      </w:r>
      <w:r>
        <w:rPr>
          <w:rFonts w:hint="eastAsia"/>
        </w:rPr>
        <w:t>北京银行</w:t>
      </w:r>
    </w:p>
    <w:p w14:paraId="5448B0EF" w14:textId="77777777" w:rsidR="000A56A9" w:rsidRDefault="000A56A9" w:rsidP="000A56A9">
      <w:pPr>
        <w:pStyle w:val="AD"/>
        <w:spacing w:line="276" w:lineRule="auto"/>
      </w:pPr>
      <w:r>
        <w:rPr>
          <w:rFonts w:hint="eastAsia"/>
        </w:rPr>
        <w:t>23.</w:t>
      </w:r>
      <w:r>
        <w:rPr>
          <w:rFonts w:hint="eastAsia"/>
        </w:rPr>
        <w:t>上海银行</w:t>
      </w:r>
    </w:p>
    <w:p w14:paraId="03B8B20B" w14:textId="77777777" w:rsidR="000A56A9" w:rsidRDefault="000A56A9" w:rsidP="000A56A9">
      <w:pPr>
        <w:pStyle w:val="AD"/>
        <w:spacing w:line="276" w:lineRule="auto"/>
      </w:pPr>
      <w:r>
        <w:rPr>
          <w:rFonts w:hint="eastAsia"/>
        </w:rPr>
        <w:t>24.</w:t>
      </w:r>
      <w:r>
        <w:rPr>
          <w:rFonts w:hint="eastAsia"/>
        </w:rPr>
        <w:t>江苏银行</w:t>
      </w:r>
    </w:p>
    <w:p w14:paraId="5F931514" w14:textId="77777777" w:rsidR="000A56A9" w:rsidRDefault="000A56A9" w:rsidP="000A56A9">
      <w:pPr>
        <w:pStyle w:val="AD"/>
        <w:spacing w:line="276" w:lineRule="auto"/>
      </w:pPr>
      <w:r>
        <w:rPr>
          <w:rFonts w:hint="eastAsia"/>
        </w:rPr>
        <w:t>25.</w:t>
      </w:r>
      <w:r>
        <w:rPr>
          <w:rFonts w:hint="eastAsia"/>
        </w:rPr>
        <w:t>汇丰银行（中国）有限公司</w:t>
      </w:r>
    </w:p>
    <w:p w14:paraId="289C8C3D" w14:textId="77777777" w:rsidR="000A56A9" w:rsidRDefault="000A56A9" w:rsidP="000A56A9">
      <w:pPr>
        <w:pStyle w:val="AD"/>
        <w:spacing w:line="276" w:lineRule="auto"/>
      </w:pPr>
      <w:r>
        <w:rPr>
          <w:rFonts w:hint="eastAsia"/>
        </w:rPr>
        <w:t>26.</w:t>
      </w:r>
      <w:r>
        <w:rPr>
          <w:rFonts w:hint="eastAsia"/>
        </w:rPr>
        <w:t>花旗银行（中国）有限公司</w:t>
      </w:r>
    </w:p>
    <w:p w14:paraId="18BCD030" w14:textId="77777777" w:rsidR="000A56A9" w:rsidRDefault="000A56A9" w:rsidP="000A56A9">
      <w:pPr>
        <w:pStyle w:val="AD"/>
        <w:spacing w:line="276" w:lineRule="auto"/>
      </w:pPr>
      <w:r>
        <w:rPr>
          <w:rFonts w:hint="eastAsia"/>
        </w:rPr>
        <w:t>27.</w:t>
      </w:r>
      <w:r>
        <w:rPr>
          <w:rFonts w:hint="eastAsia"/>
        </w:rPr>
        <w:t>渣打银行（中国）有限公司</w:t>
      </w:r>
    </w:p>
    <w:p w14:paraId="1E8B749E" w14:textId="77777777" w:rsidR="000A56A9" w:rsidRPr="003E461B" w:rsidRDefault="000A56A9" w:rsidP="000A56A9">
      <w:pPr>
        <w:pStyle w:val="AD"/>
        <w:spacing w:line="276" w:lineRule="auto"/>
      </w:pPr>
    </w:p>
    <w:p w14:paraId="0BE5134F" w14:textId="6E226363" w:rsidR="000A56A9" w:rsidRPr="000A56A9" w:rsidRDefault="000A56A9" w:rsidP="00FD77D2">
      <w:pPr>
        <w:pStyle w:val="AD"/>
        <w:spacing w:line="276" w:lineRule="auto"/>
      </w:pPr>
    </w:p>
    <w:p w14:paraId="384BB4D1" w14:textId="77777777" w:rsidR="000A56A9" w:rsidRDefault="000A56A9" w:rsidP="00FD77D2">
      <w:pPr>
        <w:pStyle w:val="AD"/>
        <w:spacing w:line="276" w:lineRule="auto"/>
        <w:rPr>
          <w:rFonts w:hint="eastAsia"/>
        </w:rPr>
      </w:pPr>
    </w:p>
    <w:p w14:paraId="77A33516" w14:textId="4B3891FD" w:rsidR="003E461B" w:rsidRDefault="003E461B" w:rsidP="00FD77D2">
      <w:pPr>
        <w:pStyle w:val="AD"/>
        <w:spacing w:line="276" w:lineRule="auto"/>
      </w:pPr>
    </w:p>
    <w:p w14:paraId="544580A2" w14:textId="2A2FBE01" w:rsidR="003E461B" w:rsidRDefault="003E461B" w:rsidP="00FD77D2">
      <w:pPr>
        <w:pStyle w:val="AD"/>
        <w:spacing w:line="276" w:lineRule="auto"/>
      </w:pPr>
      <w:r>
        <w:rPr>
          <w:rFonts w:hint="eastAsia"/>
        </w:rPr>
        <w:t>信息来源：</w:t>
      </w:r>
      <w:hyperlink r:id="rId6" w:history="1">
        <w:r w:rsidRPr="00FA2786">
          <w:rPr>
            <w:rStyle w:val="a7"/>
          </w:rPr>
          <w:t>http://www.pbc.gov.cn/tiaofasi/144941/144979/3941920/4345213/index.html</w:t>
        </w:r>
      </w:hyperlink>
    </w:p>
    <w:p w14:paraId="142891D0" w14:textId="453B9F64" w:rsidR="003E461B" w:rsidRDefault="003E461B" w:rsidP="000A56A9">
      <w:pPr>
        <w:widowControl/>
        <w:overflowPunct/>
        <w:spacing w:line="276" w:lineRule="auto"/>
        <w:jc w:val="left"/>
      </w:pPr>
    </w:p>
    <w:p w14:paraId="0C80EFB5" w14:textId="77777777" w:rsidR="003E461B" w:rsidRPr="003E461B" w:rsidRDefault="003E461B" w:rsidP="00FD77D2">
      <w:pPr>
        <w:pStyle w:val="AD"/>
        <w:spacing w:line="276" w:lineRule="auto"/>
      </w:pPr>
    </w:p>
    <w:sectPr w:rsidR="003E461B" w:rsidRPr="003E461B"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18C8" w14:textId="77777777" w:rsidR="00504371" w:rsidRDefault="00504371" w:rsidP="00C20A6A">
      <w:pPr>
        <w:spacing w:line="240" w:lineRule="auto"/>
      </w:pPr>
      <w:r>
        <w:separator/>
      </w:r>
    </w:p>
  </w:endnote>
  <w:endnote w:type="continuationSeparator" w:id="0">
    <w:p w14:paraId="0D13A6DC" w14:textId="77777777" w:rsidR="00504371" w:rsidRDefault="00504371"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6DC2" w14:textId="77777777" w:rsidR="00504371" w:rsidRDefault="00504371" w:rsidP="00C20A6A">
      <w:pPr>
        <w:spacing w:line="240" w:lineRule="auto"/>
      </w:pPr>
      <w:r>
        <w:separator/>
      </w:r>
    </w:p>
  </w:footnote>
  <w:footnote w:type="continuationSeparator" w:id="0">
    <w:p w14:paraId="1B722C11" w14:textId="77777777" w:rsidR="00504371" w:rsidRDefault="00504371"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6A82"/>
    <w:rsid w:val="000A56A9"/>
    <w:rsid w:val="000F4C6A"/>
    <w:rsid w:val="00176A25"/>
    <w:rsid w:val="001C4C6F"/>
    <w:rsid w:val="00232AE4"/>
    <w:rsid w:val="003D27E2"/>
    <w:rsid w:val="003E461B"/>
    <w:rsid w:val="00504371"/>
    <w:rsid w:val="005F7C76"/>
    <w:rsid w:val="00606A82"/>
    <w:rsid w:val="006A7C56"/>
    <w:rsid w:val="007D7BDB"/>
    <w:rsid w:val="00A548E7"/>
    <w:rsid w:val="00B15193"/>
    <w:rsid w:val="00B731F1"/>
    <w:rsid w:val="00C20A6A"/>
    <w:rsid w:val="00C22624"/>
    <w:rsid w:val="00CD05B4"/>
    <w:rsid w:val="00D02718"/>
    <w:rsid w:val="00DF36A3"/>
    <w:rsid w:val="00FC1277"/>
    <w:rsid w:val="00FD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FFF6"/>
  <w15:chartTrackingRefBased/>
  <w15:docId w15:val="{15EF0B28-6E29-46F4-95BE-A3CD94C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3E461B"/>
    <w:rPr>
      <w:color w:val="0000FF" w:themeColor="hyperlink"/>
      <w:u w:val="single"/>
    </w:rPr>
  </w:style>
  <w:style w:type="character" w:styleId="a8">
    <w:name w:val="Unresolved Mention"/>
    <w:basedOn w:val="a0"/>
    <w:uiPriority w:val="99"/>
    <w:semiHidden/>
    <w:unhideWhenUsed/>
    <w:rsid w:val="003E461B"/>
    <w:rPr>
      <w:color w:val="605E5C"/>
      <w:shd w:val="clear" w:color="auto" w:fill="E1DFDD"/>
    </w:rPr>
  </w:style>
  <w:style w:type="table" w:styleId="a9">
    <w:name w:val="Table Grid"/>
    <w:basedOn w:val="a1"/>
    <w:uiPriority w:val="59"/>
    <w:rsid w:val="003E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c.gov.cn/tiaofasi/144941/144979/3941920/4345213/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XSH</dc:creator>
  <cp:keywords/>
  <dc:description/>
  <cp:lastModifiedBy>Yanlu Shen</cp:lastModifiedBy>
  <cp:revision>8</cp:revision>
  <dcterms:created xsi:type="dcterms:W3CDTF">2021-09-23T03:17:00Z</dcterms:created>
  <dcterms:modified xsi:type="dcterms:W3CDTF">2021-09-24T02:59:00Z</dcterms:modified>
</cp:coreProperties>
</file>