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2495" w14:textId="77777777" w:rsidR="00A579EA" w:rsidRPr="00A579EA" w:rsidRDefault="00A579EA" w:rsidP="00A579EA">
      <w:pPr>
        <w:pStyle w:val="AD"/>
        <w:spacing w:line="276" w:lineRule="auto"/>
        <w:jc w:val="center"/>
        <w:rPr>
          <w:b/>
          <w:bCs/>
          <w:color w:val="E36C0A" w:themeColor="accent6" w:themeShade="BF"/>
          <w:sz w:val="32"/>
          <w:szCs w:val="32"/>
        </w:rPr>
      </w:pPr>
      <w:bookmarkStart w:id="0" w:name="_GoBack"/>
      <w:bookmarkEnd w:id="0"/>
      <w:r w:rsidRPr="00A579EA">
        <w:rPr>
          <w:rFonts w:hint="eastAsia"/>
          <w:b/>
          <w:bCs/>
          <w:color w:val="E36C0A" w:themeColor="accent6" w:themeShade="BF"/>
          <w:sz w:val="32"/>
          <w:szCs w:val="32"/>
        </w:rPr>
        <w:t>关于药械组合产品注册有关事宜的通告</w:t>
      </w:r>
    </w:p>
    <w:p w14:paraId="0ACAC655" w14:textId="1184631E" w:rsidR="00A579EA" w:rsidRDefault="00A579EA" w:rsidP="00A579EA">
      <w:pPr>
        <w:pStyle w:val="AD"/>
        <w:spacing w:line="276" w:lineRule="auto"/>
        <w:jc w:val="center"/>
        <w:rPr>
          <w:rFonts w:hint="eastAsia"/>
        </w:rPr>
      </w:pPr>
      <w:r>
        <w:rPr>
          <w:rFonts w:hint="eastAsia"/>
        </w:rPr>
        <w:t>（</w:t>
      </w:r>
      <w:r>
        <w:rPr>
          <w:rFonts w:hint="eastAsia"/>
        </w:rPr>
        <w:t>2021</w:t>
      </w:r>
      <w:r>
        <w:rPr>
          <w:rFonts w:hint="eastAsia"/>
        </w:rPr>
        <w:t>年第</w:t>
      </w:r>
      <w:r>
        <w:rPr>
          <w:rFonts w:hint="eastAsia"/>
        </w:rPr>
        <w:t>52</w:t>
      </w:r>
      <w:r>
        <w:rPr>
          <w:rFonts w:hint="eastAsia"/>
        </w:rPr>
        <w:t>号）</w:t>
      </w:r>
    </w:p>
    <w:p w14:paraId="75A33710" w14:textId="77777777" w:rsidR="00A579EA" w:rsidRDefault="00A579EA" w:rsidP="00A579EA">
      <w:pPr>
        <w:pStyle w:val="AD"/>
        <w:spacing w:line="276" w:lineRule="auto"/>
      </w:pPr>
    </w:p>
    <w:p w14:paraId="2B0ADCFA" w14:textId="6CA44976" w:rsidR="00A579EA" w:rsidRDefault="00A579EA" w:rsidP="00A579EA">
      <w:pPr>
        <w:pStyle w:val="AD"/>
        <w:spacing w:line="276" w:lineRule="auto"/>
        <w:rPr>
          <w:rFonts w:hint="eastAsia"/>
        </w:rPr>
      </w:pPr>
      <w:r>
        <w:rPr>
          <w:rFonts w:hint="eastAsia"/>
        </w:rPr>
        <w:t xml:space="preserve">　　为加强药械组合产品的注册管理，根据药品、医疗器械注册管理的有关规定，现就药械组合产品注册有关事宜通告如下：</w:t>
      </w:r>
    </w:p>
    <w:p w14:paraId="5ACC3D2F" w14:textId="77777777" w:rsidR="00A579EA" w:rsidRDefault="00A579EA" w:rsidP="00A579EA">
      <w:pPr>
        <w:pStyle w:val="AD"/>
        <w:spacing w:line="276" w:lineRule="auto"/>
      </w:pPr>
    </w:p>
    <w:p w14:paraId="68541029" w14:textId="77777777" w:rsidR="00A579EA" w:rsidRDefault="00A579EA" w:rsidP="00A579EA">
      <w:pPr>
        <w:pStyle w:val="AD"/>
        <w:spacing w:line="276" w:lineRule="auto"/>
        <w:rPr>
          <w:rFonts w:hint="eastAsia"/>
        </w:rPr>
      </w:pPr>
      <w:r>
        <w:rPr>
          <w:rFonts w:hint="eastAsia"/>
        </w:rPr>
        <w:t xml:space="preserve">　　一、药械组合产品系指由药品与医疗器械共同组成，并作为一个单一实体生产的医疗产品。</w:t>
      </w:r>
    </w:p>
    <w:p w14:paraId="7BFCD7CC" w14:textId="77777777" w:rsidR="00A579EA" w:rsidRDefault="00A579EA" w:rsidP="00A579EA">
      <w:pPr>
        <w:pStyle w:val="AD"/>
        <w:spacing w:line="276" w:lineRule="auto"/>
      </w:pPr>
    </w:p>
    <w:p w14:paraId="2DEFA452" w14:textId="77777777" w:rsidR="00A579EA" w:rsidRDefault="00A579EA" w:rsidP="00A579EA">
      <w:pPr>
        <w:pStyle w:val="AD"/>
        <w:spacing w:line="276" w:lineRule="auto"/>
        <w:rPr>
          <w:rFonts w:hint="eastAsia"/>
        </w:rPr>
      </w:pPr>
      <w:r>
        <w:rPr>
          <w:rFonts w:hint="eastAsia"/>
        </w:rPr>
        <w:t xml:space="preserve">　　二、以药品作用为主的药械组合产品，应当按照药品有关要求申报注册；以医疗器械作用为主的药械组合产品，应当按照医疗器械有关要求申报注册。对于药械组合产品中所含药品或者医疗器械已获我国或者生产国（地区）批准上市销售的，相应的上市销售证明文件应当在申报注册时一并提交。药械组合产品的申报资料要求可参考相关文件和指导原则。</w:t>
      </w:r>
    </w:p>
    <w:p w14:paraId="5D7FB754" w14:textId="77777777" w:rsidR="00A579EA" w:rsidRDefault="00A579EA" w:rsidP="00A579EA">
      <w:pPr>
        <w:pStyle w:val="AD"/>
        <w:spacing w:line="276" w:lineRule="auto"/>
      </w:pPr>
    </w:p>
    <w:p w14:paraId="07A8EDAE" w14:textId="77777777" w:rsidR="00A579EA" w:rsidRDefault="00A579EA" w:rsidP="00A579EA">
      <w:pPr>
        <w:pStyle w:val="AD"/>
        <w:spacing w:line="276" w:lineRule="auto"/>
        <w:rPr>
          <w:rFonts w:hint="eastAsia"/>
        </w:rPr>
      </w:pPr>
      <w:r>
        <w:rPr>
          <w:rFonts w:hint="eastAsia"/>
        </w:rPr>
        <w:t xml:space="preserve">　　三、申请人应当充分评估其拟申报药械组合产品的属性。对于药械组合产品不能确定管理属性的，申请人应当在申报注册前向国家药品监督管理局医疗器械标准管理中心（以下</w:t>
      </w:r>
      <w:proofErr w:type="gramStart"/>
      <w:r>
        <w:rPr>
          <w:rFonts w:hint="eastAsia"/>
        </w:rPr>
        <w:t>简称标管中心</w:t>
      </w:r>
      <w:proofErr w:type="gramEnd"/>
      <w:r>
        <w:rPr>
          <w:rFonts w:hint="eastAsia"/>
        </w:rPr>
        <w:t>）申请药械组合产品属性界定。</w:t>
      </w:r>
    </w:p>
    <w:p w14:paraId="76B2EFB8" w14:textId="77777777" w:rsidR="00A579EA" w:rsidRDefault="00A579EA" w:rsidP="00A579EA">
      <w:pPr>
        <w:pStyle w:val="AD"/>
        <w:spacing w:line="276" w:lineRule="auto"/>
      </w:pPr>
    </w:p>
    <w:p w14:paraId="49A358EF" w14:textId="77777777" w:rsidR="00A579EA" w:rsidRDefault="00A579EA" w:rsidP="00A579EA">
      <w:pPr>
        <w:pStyle w:val="AD"/>
        <w:spacing w:line="276" w:lineRule="auto"/>
        <w:rPr>
          <w:rFonts w:hint="eastAsia"/>
        </w:rPr>
      </w:pPr>
      <w:r>
        <w:rPr>
          <w:rFonts w:hint="eastAsia"/>
        </w:rPr>
        <w:t xml:space="preserve">　　四、</w:t>
      </w:r>
      <w:proofErr w:type="gramStart"/>
      <w:r>
        <w:rPr>
          <w:rFonts w:hint="eastAsia"/>
        </w:rPr>
        <w:t>标管中心</w:t>
      </w:r>
      <w:proofErr w:type="gramEnd"/>
      <w:r>
        <w:rPr>
          <w:rFonts w:hint="eastAsia"/>
        </w:rPr>
        <w:t>对受理的药械组合产品属性界定申请资料进行审查，按程序提出属性界定意见，在药械组合产品属性界定信息系统中告知申请人，并及时在其网站对外公布药械组合产品属性界定结果。</w:t>
      </w:r>
    </w:p>
    <w:p w14:paraId="1A97A2AA" w14:textId="77777777" w:rsidR="00A579EA" w:rsidRDefault="00A579EA" w:rsidP="00A579EA">
      <w:pPr>
        <w:pStyle w:val="AD"/>
        <w:spacing w:line="276" w:lineRule="auto"/>
      </w:pPr>
    </w:p>
    <w:p w14:paraId="4648256E" w14:textId="77777777" w:rsidR="00A579EA" w:rsidRDefault="00A579EA" w:rsidP="00A579EA">
      <w:pPr>
        <w:pStyle w:val="AD"/>
        <w:spacing w:line="276" w:lineRule="auto"/>
        <w:rPr>
          <w:rFonts w:hint="eastAsia"/>
        </w:rPr>
      </w:pPr>
      <w:r>
        <w:rPr>
          <w:rFonts w:hint="eastAsia"/>
        </w:rPr>
        <w:t xml:space="preserve">　　五、申请人根据产品属性界定结果，向国家药品监督管理局申报药品或者医疗器械注册申请，并在申请表中注明“药械组合产品”。</w:t>
      </w:r>
    </w:p>
    <w:p w14:paraId="58D0C659" w14:textId="77777777" w:rsidR="00A579EA" w:rsidRDefault="00A579EA" w:rsidP="00A579EA">
      <w:pPr>
        <w:pStyle w:val="AD"/>
        <w:spacing w:line="276" w:lineRule="auto"/>
      </w:pPr>
    </w:p>
    <w:p w14:paraId="5C5638EB" w14:textId="77777777" w:rsidR="00A579EA" w:rsidRDefault="00A579EA" w:rsidP="00A579EA">
      <w:pPr>
        <w:pStyle w:val="AD"/>
        <w:spacing w:line="276" w:lineRule="auto"/>
        <w:rPr>
          <w:rFonts w:hint="eastAsia"/>
        </w:rPr>
      </w:pPr>
      <w:r>
        <w:rPr>
          <w:rFonts w:hint="eastAsia"/>
        </w:rPr>
        <w:t xml:space="preserve">　　六、国家药品监督管理局药品审评中心与医疗器械技术审评中心建立协调机制。按照药品申报注册的药械组合产品，由药品审评中心牵头进行审评，需要联合审评的，注册申报资料转交医疗器械技术审评中心同步进行审评；按照医疗器械注册申报的药械组合产品，由医疗器械技术审评中心牵头进行审评，需要联合审评的，注册申报资料转交药品审评中心同步进行审评。对于联合审评的药械组合产品，药品审评中心与医疗器械技术审评中心应当协同开展申报产品的沟通咨询等工作；双方分别对相应部分的安全性、有效性及质量可控性出具审评报告，并明确审评结论，由牵头单位进行汇总并做出总体评价，出具总体审评结论后转入国家药品监督管理局相应业务司进行行政审批。</w:t>
      </w:r>
    </w:p>
    <w:p w14:paraId="72D2817C" w14:textId="77777777" w:rsidR="00A579EA" w:rsidRDefault="00A579EA" w:rsidP="00A579EA">
      <w:pPr>
        <w:pStyle w:val="AD"/>
        <w:spacing w:line="276" w:lineRule="auto"/>
      </w:pPr>
    </w:p>
    <w:p w14:paraId="10BE6464" w14:textId="77777777" w:rsidR="00A579EA" w:rsidRDefault="00A579EA" w:rsidP="00A579EA">
      <w:pPr>
        <w:pStyle w:val="AD"/>
        <w:spacing w:line="276" w:lineRule="auto"/>
        <w:rPr>
          <w:rFonts w:hint="eastAsia"/>
        </w:rPr>
      </w:pPr>
      <w:r>
        <w:rPr>
          <w:rFonts w:hint="eastAsia"/>
        </w:rPr>
        <w:t xml:space="preserve">　　七、相关法规、文件中已有明确管理属性规定的，按其规定执行。</w:t>
      </w:r>
    </w:p>
    <w:p w14:paraId="731E0AFF" w14:textId="77777777" w:rsidR="00A579EA" w:rsidRDefault="00A579EA" w:rsidP="00A579EA">
      <w:pPr>
        <w:pStyle w:val="AD"/>
        <w:spacing w:line="276" w:lineRule="auto"/>
      </w:pPr>
    </w:p>
    <w:p w14:paraId="6298BB17" w14:textId="77777777" w:rsidR="00A579EA" w:rsidRDefault="00A579EA" w:rsidP="00A579EA">
      <w:pPr>
        <w:pStyle w:val="AD"/>
        <w:spacing w:line="276" w:lineRule="auto"/>
        <w:rPr>
          <w:rFonts w:hint="eastAsia"/>
        </w:rPr>
      </w:pPr>
      <w:r>
        <w:rPr>
          <w:rFonts w:hint="eastAsia"/>
        </w:rPr>
        <w:t xml:space="preserve">　　八、本通告自发布之日起实施，《关于药械组合产品注册有关事宜的通告》（原国家食品药品监督管理局通告</w:t>
      </w:r>
      <w:r>
        <w:rPr>
          <w:rFonts w:hint="eastAsia"/>
        </w:rPr>
        <w:t>2009</w:t>
      </w:r>
      <w:r>
        <w:rPr>
          <w:rFonts w:hint="eastAsia"/>
        </w:rPr>
        <w:t>年第</w:t>
      </w:r>
      <w:r>
        <w:rPr>
          <w:rFonts w:hint="eastAsia"/>
        </w:rPr>
        <w:t>16</w:t>
      </w:r>
      <w:r>
        <w:rPr>
          <w:rFonts w:hint="eastAsia"/>
        </w:rPr>
        <w:t>号）和《关于调整药械组合产品属性界定有关事项的通告》（国家药品监督管理局通告</w:t>
      </w:r>
      <w:r>
        <w:rPr>
          <w:rFonts w:hint="eastAsia"/>
        </w:rPr>
        <w:t>2019</w:t>
      </w:r>
      <w:r>
        <w:rPr>
          <w:rFonts w:hint="eastAsia"/>
        </w:rPr>
        <w:t>年第</w:t>
      </w:r>
      <w:r>
        <w:rPr>
          <w:rFonts w:hint="eastAsia"/>
        </w:rPr>
        <w:t>28</w:t>
      </w:r>
      <w:r>
        <w:rPr>
          <w:rFonts w:hint="eastAsia"/>
        </w:rPr>
        <w:t>号）同时废止。</w:t>
      </w:r>
    </w:p>
    <w:p w14:paraId="184E5546" w14:textId="77777777" w:rsidR="00A579EA" w:rsidRDefault="00A579EA" w:rsidP="00A579EA">
      <w:pPr>
        <w:pStyle w:val="AD"/>
        <w:spacing w:line="276" w:lineRule="auto"/>
      </w:pPr>
    </w:p>
    <w:p w14:paraId="102A11D5" w14:textId="77777777" w:rsidR="00A579EA" w:rsidRDefault="00A579EA" w:rsidP="00A579EA">
      <w:pPr>
        <w:pStyle w:val="AD"/>
        <w:spacing w:line="276" w:lineRule="auto"/>
        <w:rPr>
          <w:rFonts w:hint="eastAsia"/>
        </w:rPr>
      </w:pPr>
      <w:r>
        <w:rPr>
          <w:rFonts w:hint="eastAsia"/>
        </w:rPr>
        <w:lastRenderedPageBreak/>
        <w:t xml:space="preserve">　　特此通告。</w:t>
      </w:r>
    </w:p>
    <w:p w14:paraId="24B38946" w14:textId="0BE67A25" w:rsidR="00B15193" w:rsidRDefault="00B15193" w:rsidP="00A579EA">
      <w:pPr>
        <w:pStyle w:val="AD"/>
        <w:spacing w:line="276" w:lineRule="auto"/>
      </w:pPr>
    </w:p>
    <w:p w14:paraId="23E884EE" w14:textId="2A406DBD" w:rsidR="00A579EA" w:rsidRDefault="00A579EA" w:rsidP="00A579EA">
      <w:pPr>
        <w:pStyle w:val="AD"/>
        <w:spacing w:line="276" w:lineRule="auto"/>
      </w:pPr>
    </w:p>
    <w:p w14:paraId="04BEA5E2" w14:textId="4F990A1B" w:rsidR="00A579EA" w:rsidRDefault="00A579EA" w:rsidP="00A579EA">
      <w:pPr>
        <w:pStyle w:val="AD"/>
        <w:spacing w:line="276" w:lineRule="auto"/>
      </w:pPr>
      <w:r>
        <w:rPr>
          <w:rFonts w:hint="eastAsia"/>
        </w:rPr>
        <w:t>信息来源：</w:t>
      </w:r>
      <w:hyperlink r:id="rId6" w:history="1">
        <w:r w:rsidRPr="007E174D">
          <w:rPr>
            <w:rStyle w:val="a7"/>
          </w:rPr>
          <w:t>https://www.nmpa.gov.cn/xxgk/ggtg/qtggtg/20210727154135199.html</w:t>
        </w:r>
      </w:hyperlink>
    </w:p>
    <w:p w14:paraId="4DFE07D3" w14:textId="77777777" w:rsidR="00A579EA" w:rsidRPr="00A579EA" w:rsidRDefault="00A579EA" w:rsidP="00A579EA">
      <w:pPr>
        <w:pStyle w:val="AD"/>
        <w:spacing w:line="276" w:lineRule="auto"/>
        <w:rPr>
          <w:rFonts w:hint="eastAsia"/>
        </w:rPr>
      </w:pPr>
    </w:p>
    <w:sectPr w:rsidR="00A579EA" w:rsidRPr="00A579EA"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E74E" w14:textId="77777777" w:rsidR="00606170" w:rsidRDefault="00606170" w:rsidP="00C20A6A">
      <w:pPr>
        <w:spacing w:line="240" w:lineRule="auto"/>
      </w:pPr>
      <w:r>
        <w:separator/>
      </w:r>
    </w:p>
  </w:endnote>
  <w:endnote w:type="continuationSeparator" w:id="0">
    <w:p w14:paraId="36ED29DA" w14:textId="77777777" w:rsidR="00606170" w:rsidRDefault="00606170"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B50E" w14:textId="77777777" w:rsidR="00606170" w:rsidRDefault="00606170" w:rsidP="00C20A6A">
      <w:pPr>
        <w:spacing w:line="240" w:lineRule="auto"/>
      </w:pPr>
      <w:r>
        <w:separator/>
      </w:r>
    </w:p>
  </w:footnote>
  <w:footnote w:type="continuationSeparator" w:id="0">
    <w:p w14:paraId="6687B3E7" w14:textId="77777777" w:rsidR="00606170" w:rsidRDefault="00606170"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4B40"/>
    <w:rsid w:val="000F4C6A"/>
    <w:rsid w:val="00176A25"/>
    <w:rsid w:val="001C4C6F"/>
    <w:rsid w:val="003D27E2"/>
    <w:rsid w:val="005F7C76"/>
    <w:rsid w:val="00606170"/>
    <w:rsid w:val="007D7BDB"/>
    <w:rsid w:val="00A548E7"/>
    <w:rsid w:val="00A579EA"/>
    <w:rsid w:val="00B15193"/>
    <w:rsid w:val="00B731F1"/>
    <w:rsid w:val="00C20A6A"/>
    <w:rsid w:val="00C22624"/>
    <w:rsid w:val="00D02718"/>
    <w:rsid w:val="00FC4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AE315"/>
  <w15:chartTrackingRefBased/>
  <w15:docId w15:val="{EA8DCB4A-7963-40AD-A831-410FF27B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A579EA"/>
    <w:rPr>
      <w:color w:val="0000FF" w:themeColor="hyperlink"/>
      <w:u w:val="single"/>
    </w:rPr>
  </w:style>
  <w:style w:type="character" w:styleId="a8">
    <w:name w:val="Unresolved Mention"/>
    <w:basedOn w:val="a0"/>
    <w:uiPriority w:val="99"/>
    <w:semiHidden/>
    <w:unhideWhenUsed/>
    <w:rsid w:val="00A57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pa.gov.cn/xxgk/ggtg/qtggtg/20210727154135199.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2</cp:revision>
  <dcterms:created xsi:type="dcterms:W3CDTF">2021-08-03T07:31:00Z</dcterms:created>
  <dcterms:modified xsi:type="dcterms:W3CDTF">2021-08-03T07:32:00Z</dcterms:modified>
</cp:coreProperties>
</file>