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938E" w14:textId="77777777" w:rsidR="0053456F" w:rsidRPr="007060D1" w:rsidRDefault="0053456F" w:rsidP="003110C9">
      <w:pPr>
        <w:pStyle w:val="AD"/>
        <w:spacing w:line="276" w:lineRule="auto"/>
        <w:jc w:val="center"/>
        <w:rPr>
          <w:rFonts w:hint="eastAsia"/>
          <w:b/>
          <w:bCs/>
          <w:color w:val="E36C0A" w:themeColor="accent6" w:themeShade="BF"/>
          <w:sz w:val="32"/>
          <w:szCs w:val="32"/>
        </w:rPr>
      </w:pPr>
      <w:bookmarkStart w:id="0" w:name="_GoBack"/>
      <w:bookmarkEnd w:id="0"/>
      <w:r w:rsidRPr="007060D1">
        <w:rPr>
          <w:rFonts w:hint="eastAsia"/>
          <w:b/>
          <w:bCs/>
          <w:color w:val="E36C0A" w:themeColor="accent6" w:themeShade="BF"/>
          <w:sz w:val="32"/>
          <w:szCs w:val="32"/>
        </w:rPr>
        <w:t>关于企业所得税若干</w:t>
      </w:r>
      <w:proofErr w:type="gramStart"/>
      <w:r w:rsidRPr="007060D1">
        <w:rPr>
          <w:rFonts w:hint="eastAsia"/>
          <w:b/>
          <w:bCs/>
          <w:color w:val="E36C0A" w:themeColor="accent6" w:themeShade="BF"/>
          <w:sz w:val="32"/>
          <w:szCs w:val="32"/>
        </w:rPr>
        <w:t>政策征管口径</w:t>
      </w:r>
      <w:proofErr w:type="gramEnd"/>
      <w:r w:rsidRPr="007060D1">
        <w:rPr>
          <w:rFonts w:hint="eastAsia"/>
          <w:b/>
          <w:bCs/>
          <w:color w:val="E36C0A" w:themeColor="accent6" w:themeShade="BF"/>
          <w:sz w:val="32"/>
          <w:szCs w:val="32"/>
        </w:rPr>
        <w:t>问题的公告</w:t>
      </w:r>
    </w:p>
    <w:p w14:paraId="044793AB" w14:textId="77777777" w:rsidR="0053456F" w:rsidRDefault="0053456F" w:rsidP="003110C9">
      <w:pPr>
        <w:pStyle w:val="AD"/>
        <w:spacing w:line="276" w:lineRule="auto"/>
        <w:jc w:val="center"/>
        <w:rPr>
          <w:rFonts w:hint="eastAsia"/>
        </w:rPr>
      </w:pPr>
      <w:r>
        <w:rPr>
          <w:rFonts w:hint="eastAsia"/>
        </w:rPr>
        <w:t>国家税务总局公告</w:t>
      </w:r>
      <w:r>
        <w:rPr>
          <w:rFonts w:hint="eastAsia"/>
        </w:rPr>
        <w:t>2021</w:t>
      </w:r>
      <w:r>
        <w:rPr>
          <w:rFonts w:hint="eastAsia"/>
        </w:rPr>
        <w:t>年第</w:t>
      </w:r>
      <w:r>
        <w:rPr>
          <w:rFonts w:hint="eastAsia"/>
        </w:rPr>
        <w:t>17</w:t>
      </w:r>
      <w:r>
        <w:rPr>
          <w:rFonts w:hint="eastAsia"/>
        </w:rPr>
        <w:t>号</w:t>
      </w:r>
    </w:p>
    <w:p w14:paraId="5F5B5C63" w14:textId="77777777" w:rsidR="007060D1" w:rsidRDefault="007060D1" w:rsidP="003110C9">
      <w:pPr>
        <w:pStyle w:val="AD"/>
        <w:spacing w:line="276" w:lineRule="auto"/>
      </w:pPr>
    </w:p>
    <w:p w14:paraId="2C86DB93" w14:textId="4655A9AE" w:rsidR="0053456F" w:rsidRDefault="0053456F" w:rsidP="003110C9">
      <w:pPr>
        <w:pStyle w:val="AD"/>
        <w:spacing w:line="276" w:lineRule="auto"/>
        <w:rPr>
          <w:rFonts w:hint="eastAsia"/>
        </w:rPr>
      </w:pPr>
      <w:r>
        <w:rPr>
          <w:rFonts w:hint="eastAsia"/>
        </w:rPr>
        <w:t>为贯彻落实中办、国办印发的《关于进一步深化税收征管改革的意见》，深入开展</w:t>
      </w:r>
      <w:r>
        <w:rPr>
          <w:rFonts w:hint="eastAsia"/>
        </w:rPr>
        <w:t>2021</w:t>
      </w:r>
      <w:r>
        <w:rPr>
          <w:rFonts w:hint="eastAsia"/>
        </w:rPr>
        <w:t>年“我为纳税人缴费人办实事暨便民办税春风行动”，推进税收领域“放管服”改革，更好服务市场主体，根据《中华人民共和国企业所得税法》及其实施条例（以下简称税法）等相关规定，对企业所得税若干</w:t>
      </w:r>
      <w:proofErr w:type="gramStart"/>
      <w:r>
        <w:rPr>
          <w:rFonts w:hint="eastAsia"/>
        </w:rPr>
        <w:t>政策征管口径</w:t>
      </w:r>
      <w:proofErr w:type="gramEnd"/>
      <w:r>
        <w:rPr>
          <w:rFonts w:hint="eastAsia"/>
        </w:rPr>
        <w:t>问题公告如下：</w:t>
      </w:r>
    </w:p>
    <w:p w14:paraId="4CA25F02" w14:textId="77777777" w:rsidR="0053456F" w:rsidRDefault="0053456F" w:rsidP="003110C9">
      <w:pPr>
        <w:pStyle w:val="AD"/>
        <w:spacing w:line="276" w:lineRule="auto"/>
      </w:pPr>
    </w:p>
    <w:p w14:paraId="0C23A9F2" w14:textId="77777777" w:rsidR="0053456F" w:rsidRDefault="0053456F" w:rsidP="003110C9">
      <w:pPr>
        <w:pStyle w:val="AD"/>
        <w:spacing w:line="276" w:lineRule="auto"/>
        <w:rPr>
          <w:rFonts w:hint="eastAsia"/>
        </w:rPr>
      </w:pPr>
      <w:r>
        <w:rPr>
          <w:rFonts w:hint="eastAsia"/>
        </w:rPr>
        <w:t>一、关于公益性捐赠支出相关费用的扣除问题</w:t>
      </w:r>
    </w:p>
    <w:p w14:paraId="4F3B50B3" w14:textId="77777777" w:rsidR="0053456F" w:rsidRDefault="0053456F" w:rsidP="003110C9">
      <w:pPr>
        <w:pStyle w:val="AD"/>
        <w:spacing w:line="276" w:lineRule="auto"/>
      </w:pPr>
    </w:p>
    <w:p w14:paraId="3193CE2D" w14:textId="77777777" w:rsidR="0053456F" w:rsidRDefault="0053456F" w:rsidP="003110C9">
      <w:pPr>
        <w:pStyle w:val="AD"/>
        <w:spacing w:line="276" w:lineRule="auto"/>
        <w:rPr>
          <w:rFonts w:hint="eastAsia"/>
        </w:rPr>
      </w:pPr>
      <w:r>
        <w:rPr>
          <w:rFonts w:hint="eastAsia"/>
        </w:rPr>
        <w:t>企业在非货币性资产捐赠过程中发生的运费、保险费、人工费用等相关支出，凡纳入国家机关、公益性社会组织开具的公益捐赠票据记载的数额中的，作为公益性捐赠支出按照规定在税前扣除；上述费用未纳入公益性捐赠票据记载的数额中的，作为企业相关费用按照规定在税前扣除。</w:t>
      </w:r>
    </w:p>
    <w:p w14:paraId="0E596473" w14:textId="77777777" w:rsidR="0053456F" w:rsidRDefault="0053456F" w:rsidP="003110C9">
      <w:pPr>
        <w:pStyle w:val="AD"/>
        <w:spacing w:line="276" w:lineRule="auto"/>
      </w:pPr>
    </w:p>
    <w:p w14:paraId="166F49ED" w14:textId="77777777" w:rsidR="0053456F" w:rsidRDefault="0053456F" w:rsidP="003110C9">
      <w:pPr>
        <w:pStyle w:val="AD"/>
        <w:spacing w:line="276" w:lineRule="auto"/>
        <w:rPr>
          <w:rFonts w:hint="eastAsia"/>
        </w:rPr>
      </w:pPr>
      <w:r>
        <w:rPr>
          <w:rFonts w:hint="eastAsia"/>
        </w:rPr>
        <w:t>二、关于可转换债券转换为股权投资的税务处理问题</w:t>
      </w:r>
    </w:p>
    <w:p w14:paraId="4673BAC6" w14:textId="77777777" w:rsidR="0053456F" w:rsidRDefault="0053456F" w:rsidP="003110C9">
      <w:pPr>
        <w:pStyle w:val="AD"/>
        <w:spacing w:line="276" w:lineRule="auto"/>
      </w:pPr>
    </w:p>
    <w:p w14:paraId="60D1282D" w14:textId="77777777" w:rsidR="0053456F" w:rsidRDefault="0053456F" w:rsidP="003110C9">
      <w:pPr>
        <w:pStyle w:val="AD"/>
        <w:spacing w:line="276" w:lineRule="auto"/>
        <w:rPr>
          <w:rFonts w:hint="eastAsia"/>
        </w:rPr>
      </w:pPr>
      <w:r>
        <w:rPr>
          <w:rFonts w:hint="eastAsia"/>
        </w:rPr>
        <w:t>（一）购买方企业的税务处理</w:t>
      </w:r>
    </w:p>
    <w:p w14:paraId="52FF35EA" w14:textId="77777777" w:rsidR="0053456F" w:rsidRDefault="0053456F" w:rsidP="003110C9">
      <w:pPr>
        <w:pStyle w:val="AD"/>
        <w:spacing w:line="276" w:lineRule="auto"/>
      </w:pPr>
    </w:p>
    <w:p w14:paraId="23C43D9B" w14:textId="77777777" w:rsidR="0053456F" w:rsidRDefault="0053456F" w:rsidP="003110C9">
      <w:pPr>
        <w:pStyle w:val="AD"/>
        <w:spacing w:line="276" w:lineRule="auto"/>
        <w:rPr>
          <w:rFonts w:hint="eastAsia"/>
        </w:rPr>
      </w:pPr>
      <w:r>
        <w:rPr>
          <w:rFonts w:hint="eastAsia"/>
        </w:rPr>
        <w:t>1.</w:t>
      </w:r>
      <w:r>
        <w:rPr>
          <w:rFonts w:hint="eastAsia"/>
        </w:rPr>
        <w:t>购买方企业购买可转换债券，在其持有期间按照约定利率取得的利息收入，应当依法申报缴纳企业所得税。</w:t>
      </w:r>
    </w:p>
    <w:p w14:paraId="3A7C36DB" w14:textId="77777777" w:rsidR="0053456F" w:rsidRDefault="0053456F" w:rsidP="003110C9">
      <w:pPr>
        <w:pStyle w:val="AD"/>
        <w:spacing w:line="276" w:lineRule="auto"/>
      </w:pPr>
    </w:p>
    <w:p w14:paraId="4A513757" w14:textId="77777777" w:rsidR="0053456F" w:rsidRDefault="0053456F" w:rsidP="003110C9">
      <w:pPr>
        <w:pStyle w:val="AD"/>
        <w:spacing w:line="276" w:lineRule="auto"/>
        <w:rPr>
          <w:rFonts w:hint="eastAsia"/>
        </w:rPr>
      </w:pPr>
      <w:r>
        <w:rPr>
          <w:rFonts w:hint="eastAsia"/>
        </w:rPr>
        <w:t>2.</w:t>
      </w:r>
      <w:r>
        <w:rPr>
          <w:rFonts w:hint="eastAsia"/>
        </w:rPr>
        <w:t>购买方企业可转换债券转换为股票时，将应收未收利息一并转为股票的，该应收未收利息即使会计上未确认收入，税收上也应当作为当期利息收入申报纳税；转换后以该债券购买价、应收未收利息和支付的相关税费为该股票投资成本。</w:t>
      </w:r>
    </w:p>
    <w:p w14:paraId="28C4DEE5" w14:textId="77777777" w:rsidR="0053456F" w:rsidRDefault="0053456F" w:rsidP="003110C9">
      <w:pPr>
        <w:pStyle w:val="AD"/>
        <w:spacing w:line="276" w:lineRule="auto"/>
      </w:pPr>
    </w:p>
    <w:p w14:paraId="23A7CC50" w14:textId="77777777" w:rsidR="0053456F" w:rsidRDefault="0053456F" w:rsidP="003110C9">
      <w:pPr>
        <w:pStyle w:val="AD"/>
        <w:spacing w:line="276" w:lineRule="auto"/>
        <w:rPr>
          <w:rFonts w:hint="eastAsia"/>
        </w:rPr>
      </w:pPr>
      <w:r>
        <w:rPr>
          <w:rFonts w:hint="eastAsia"/>
        </w:rPr>
        <w:t>（二）发行方企业的税务处理</w:t>
      </w:r>
    </w:p>
    <w:p w14:paraId="7755D9B9" w14:textId="77777777" w:rsidR="0053456F" w:rsidRDefault="0053456F" w:rsidP="003110C9">
      <w:pPr>
        <w:pStyle w:val="AD"/>
        <w:spacing w:line="276" w:lineRule="auto"/>
      </w:pPr>
    </w:p>
    <w:p w14:paraId="338E850B" w14:textId="77777777" w:rsidR="0053456F" w:rsidRDefault="0053456F" w:rsidP="003110C9">
      <w:pPr>
        <w:pStyle w:val="AD"/>
        <w:spacing w:line="276" w:lineRule="auto"/>
        <w:rPr>
          <w:rFonts w:hint="eastAsia"/>
        </w:rPr>
      </w:pPr>
      <w:r>
        <w:rPr>
          <w:rFonts w:hint="eastAsia"/>
        </w:rPr>
        <w:t>1.</w:t>
      </w:r>
      <w:r>
        <w:rPr>
          <w:rFonts w:hint="eastAsia"/>
        </w:rPr>
        <w:t>发行方企业发生的可转换债券的利息，按照规定在税前扣除。</w:t>
      </w:r>
    </w:p>
    <w:p w14:paraId="7D92D421" w14:textId="77777777" w:rsidR="0053456F" w:rsidRDefault="0053456F" w:rsidP="003110C9">
      <w:pPr>
        <w:pStyle w:val="AD"/>
        <w:spacing w:line="276" w:lineRule="auto"/>
      </w:pPr>
    </w:p>
    <w:p w14:paraId="04E0EDBA" w14:textId="77777777" w:rsidR="0053456F" w:rsidRDefault="0053456F" w:rsidP="003110C9">
      <w:pPr>
        <w:pStyle w:val="AD"/>
        <w:spacing w:line="276" w:lineRule="auto"/>
        <w:rPr>
          <w:rFonts w:hint="eastAsia"/>
        </w:rPr>
      </w:pPr>
      <w:r>
        <w:rPr>
          <w:rFonts w:hint="eastAsia"/>
        </w:rPr>
        <w:t>2.</w:t>
      </w:r>
      <w:r>
        <w:rPr>
          <w:rFonts w:hint="eastAsia"/>
        </w:rPr>
        <w:t>发行方企业按照约定将购买方持有的可转换债券和应付未付利息一并转为股票的，其应付未付利息视同已支付，按照规定在税前扣除。</w:t>
      </w:r>
    </w:p>
    <w:p w14:paraId="440CB63D" w14:textId="77777777" w:rsidR="0053456F" w:rsidRDefault="0053456F" w:rsidP="003110C9">
      <w:pPr>
        <w:pStyle w:val="AD"/>
        <w:spacing w:line="276" w:lineRule="auto"/>
      </w:pPr>
    </w:p>
    <w:p w14:paraId="36B80872" w14:textId="77777777" w:rsidR="0053456F" w:rsidRDefault="0053456F" w:rsidP="003110C9">
      <w:pPr>
        <w:pStyle w:val="AD"/>
        <w:spacing w:line="276" w:lineRule="auto"/>
        <w:rPr>
          <w:rFonts w:hint="eastAsia"/>
        </w:rPr>
      </w:pPr>
      <w:r>
        <w:rPr>
          <w:rFonts w:hint="eastAsia"/>
        </w:rPr>
        <w:t>三、关于跨境混合性投资业务企业所得税的处理问题</w:t>
      </w:r>
    </w:p>
    <w:p w14:paraId="4D28BF6D" w14:textId="77777777" w:rsidR="0053456F" w:rsidRDefault="0053456F" w:rsidP="003110C9">
      <w:pPr>
        <w:pStyle w:val="AD"/>
        <w:spacing w:line="276" w:lineRule="auto"/>
      </w:pPr>
    </w:p>
    <w:p w14:paraId="2F449369" w14:textId="77777777" w:rsidR="0053456F" w:rsidRDefault="0053456F" w:rsidP="003110C9">
      <w:pPr>
        <w:pStyle w:val="AD"/>
        <w:spacing w:line="276" w:lineRule="auto"/>
        <w:rPr>
          <w:rFonts w:hint="eastAsia"/>
        </w:rPr>
      </w:pPr>
      <w:r>
        <w:rPr>
          <w:rFonts w:hint="eastAsia"/>
        </w:rPr>
        <w:t>境外投资者在境内从事混合性投资业务</w:t>
      </w:r>
      <w:r>
        <w:rPr>
          <w:rFonts w:hint="eastAsia"/>
        </w:rPr>
        <w:t>,</w:t>
      </w:r>
      <w:r>
        <w:rPr>
          <w:rFonts w:hint="eastAsia"/>
        </w:rPr>
        <w:t>满足《国家税务总局关于企业混合性投资业务企业所得税处理问题的公告》（</w:t>
      </w:r>
      <w:r>
        <w:rPr>
          <w:rFonts w:hint="eastAsia"/>
        </w:rPr>
        <w:t>2013</w:t>
      </w:r>
      <w:r>
        <w:rPr>
          <w:rFonts w:hint="eastAsia"/>
        </w:rPr>
        <w:t>年第</w:t>
      </w:r>
      <w:r>
        <w:rPr>
          <w:rFonts w:hint="eastAsia"/>
        </w:rPr>
        <w:t>41</w:t>
      </w:r>
      <w:r>
        <w:rPr>
          <w:rFonts w:hint="eastAsia"/>
        </w:rPr>
        <w:t>号）第一条规定的条件的，可以按照该公告第二条第一款的规定进行企业所得税处理，但同时符合以下两种情形的除外：</w:t>
      </w:r>
    </w:p>
    <w:p w14:paraId="74D802AD" w14:textId="77777777" w:rsidR="0053456F" w:rsidRDefault="0053456F" w:rsidP="003110C9">
      <w:pPr>
        <w:pStyle w:val="AD"/>
        <w:spacing w:line="276" w:lineRule="auto"/>
      </w:pPr>
    </w:p>
    <w:p w14:paraId="1DEB9764" w14:textId="77777777" w:rsidR="0053456F" w:rsidRDefault="0053456F" w:rsidP="003110C9">
      <w:pPr>
        <w:pStyle w:val="AD"/>
        <w:spacing w:line="276" w:lineRule="auto"/>
        <w:rPr>
          <w:rFonts w:hint="eastAsia"/>
        </w:rPr>
      </w:pPr>
      <w:r>
        <w:rPr>
          <w:rFonts w:hint="eastAsia"/>
        </w:rPr>
        <w:t>（一）该境外投资者与境内被投资企业构成关联关系；</w:t>
      </w:r>
    </w:p>
    <w:p w14:paraId="721BAA92" w14:textId="77777777" w:rsidR="0053456F" w:rsidRDefault="0053456F" w:rsidP="003110C9">
      <w:pPr>
        <w:pStyle w:val="AD"/>
        <w:spacing w:line="276" w:lineRule="auto"/>
      </w:pPr>
    </w:p>
    <w:p w14:paraId="2A6B9BAD" w14:textId="77777777" w:rsidR="0053456F" w:rsidRDefault="0053456F" w:rsidP="003110C9">
      <w:pPr>
        <w:pStyle w:val="AD"/>
        <w:spacing w:line="276" w:lineRule="auto"/>
        <w:rPr>
          <w:rFonts w:hint="eastAsia"/>
        </w:rPr>
      </w:pPr>
      <w:r>
        <w:rPr>
          <w:rFonts w:hint="eastAsia"/>
        </w:rPr>
        <w:t>（二）境外投资者所在国家（地区）将该项投资收益认定为权益性投资收益，且不征收企业所得税。</w:t>
      </w:r>
    </w:p>
    <w:p w14:paraId="7D400067" w14:textId="77777777" w:rsidR="0053456F" w:rsidRDefault="0053456F" w:rsidP="003110C9">
      <w:pPr>
        <w:pStyle w:val="AD"/>
        <w:spacing w:line="276" w:lineRule="auto"/>
      </w:pPr>
    </w:p>
    <w:p w14:paraId="1B5C7757" w14:textId="77777777" w:rsidR="0053456F" w:rsidRDefault="0053456F" w:rsidP="003110C9">
      <w:pPr>
        <w:pStyle w:val="AD"/>
        <w:spacing w:line="276" w:lineRule="auto"/>
        <w:rPr>
          <w:rFonts w:hint="eastAsia"/>
        </w:rPr>
      </w:pPr>
      <w:r>
        <w:rPr>
          <w:rFonts w:hint="eastAsia"/>
        </w:rPr>
        <w:t>同时符合上述第（一）项和第（二）项规定情形的，境内被投资企业向境外投资者支付的利息应视为股息，不得进行税前扣除。</w:t>
      </w:r>
    </w:p>
    <w:p w14:paraId="455B0B43" w14:textId="77777777" w:rsidR="0053456F" w:rsidRDefault="0053456F" w:rsidP="003110C9">
      <w:pPr>
        <w:pStyle w:val="AD"/>
        <w:spacing w:line="276" w:lineRule="auto"/>
      </w:pPr>
    </w:p>
    <w:p w14:paraId="50CBEE31" w14:textId="77777777" w:rsidR="0053456F" w:rsidRDefault="0053456F" w:rsidP="003110C9">
      <w:pPr>
        <w:pStyle w:val="AD"/>
        <w:spacing w:line="276" w:lineRule="auto"/>
        <w:rPr>
          <w:rFonts w:hint="eastAsia"/>
        </w:rPr>
      </w:pPr>
      <w:r>
        <w:rPr>
          <w:rFonts w:hint="eastAsia"/>
        </w:rPr>
        <w:t>四、企业所得税核定征收改为查账征收后有关资产的税务处理问题</w:t>
      </w:r>
    </w:p>
    <w:p w14:paraId="3A7DBA5F" w14:textId="77777777" w:rsidR="0053456F" w:rsidRDefault="0053456F" w:rsidP="003110C9">
      <w:pPr>
        <w:pStyle w:val="AD"/>
        <w:spacing w:line="276" w:lineRule="auto"/>
      </w:pPr>
    </w:p>
    <w:p w14:paraId="0463AFEC" w14:textId="77777777" w:rsidR="0053456F" w:rsidRDefault="0053456F" w:rsidP="003110C9">
      <w:pPr>
        <w:pStyle w:val="AD"/>
        <w:spacing w:line="276" w:lineRule="auto"/>
        <w:rPr>
          <w:rFonts w:hint="eastAsia"/>
        </w:rPr>
      </w:pPr>
      <w:r>
        <w:rPr>
          <w:rFonts w:hint="eastAsia"/>
        </w:rPr>
        <w:t>（一）企业能够提供资产购置发票的，以发票载明金额为计税基础；不能提供资产购置发票的，可以凭购置资产的合同（协议）、资金支付证明、会计核算资料等记载金额，作为计税基础。</w:t>
      </w:r>
    </w:p>
    <w:p w14:paraId="7F60A94D" w14:textId="77777777" w:rsidR="0053456F" w:rsidRDefault="0053456F" w:rsidP="003110C9">
      <w:pPr>
        <w:pStyle w:val="AD"/>
        <w:spacing w:line="276" w:lineRule="auto"/>
      </w:pPr>
    </w:p>
    <w:p w14:paraId="3A4BF47F" w14:textId="77777777" w:rsidR="0053456F" w:rsidRDefault="0053456F" w:rsidP="003110C9">
      <w:pPr>
        <w:pStyle w:val="AD"/>
        <w:spacing w:line="276" w:lineRule="auto"/>
        <w:rPr>
          <w:rFonts w:hint="eastAsia"/>
        </w:rPr>
      </w:pPr>
      <w:r>
        <w:rPr>
          <w:rFonts w:hint="eastAsia"/>
        </w:rPr>
        <w:t>（二）企业核定征税期间投入使用的资产，改为查账征税后，按照税法规定的折旧、摊销年限，扣除该资产投入使用年限后，就剩余年限继续计提折旧、摊销额并在税前扣除。</w:t>
      </w:r>
    </w:p>
    <w:p w14:paraId="0EEF79FE" w14:textId="77777777" w:rsidR="0053456F" w:rsidRDefault="0053456F" w:rsidP="003110C9">
      <w:pPr>
        <w:pStyle w:val="AD"/>
        <w:spacing w:line="276" w:lineRule="auto"/>
      </w:pPr>
    </w:p>
    <w:p w14:paraId="1427AE30" w14:textId="77777777" w:rsidR="0053456F" w:rsidRDefault="0053456F" w:rsidP="003110C9">
      <w:pPr>
        <w:pStyle w:val="AD"/>
        <w:spacing w:line="276" w:lineRule="auto"/>
        <w:rPr>
          <w:rFonts w:hint="eastAsia"/>
        </w:rPr>
      </w:pPr>
      <w:r>
        <w:rPr>
          <w:rFonts w:hint="eastAsia"/>
        </w:rPr>
        <w:t>五、关于文物、艺术品资产的税务处理问题</w:t>
      </w:r>
    </w:p>
    <w:p w14:paraId="515221A8" w14:textId="77777777" w:rsidR="0053456F" w:rsidRDefault="0053456F" w:rsidP="003110C9">
      <w:pPr>
        <w:pStyle w:val="AD"/>
        <w:spacing w:line="276" w:lineRule="auto"/>
      </w:pPr>
    </w:p>
    <w:p w14:paraId="56E2090A" w14:textId="77777777" w:rsidR="0053456F" w:rsidRDefault="0053456F" w:rsidP="003110C9">
      <w:pPr>
        <w:pStyle w:val="AD"/>
        <w:spacing w:line="276" w:lineRule="auto"/>
        <w:rPr>
          <w:rFonts w:hint="eastAsia"/>
        </w:rPr>
      </w:pPr>
      <w:r>
        <w:rPr>
          <w:rFonts w:hint="eastAsia"/>
        </w:rPr>
        <w:t>企业购买的文物、艺术品用于收藏、展示、保值增值的，作为投资资产进行税务处理。文物、艺术品资产在持有期间，计提的折旧、摊销费用，不得税前扣除。</w:t>
      </w:r>
    </w:p>
    <w:p w14:paraId="3881AAC3" w14:textId="77777777" w:rsidR="0053456F" w:rsidRDefault="0053456F" w:rsidP="003110C9">
      <w:pPr>
        <w:pStyle w:val="AD"/>
        <w:spacing w:line="276" w:lineRule="auto"/>
      </w:pPr>
    </w:p>
    <w:p w14:paraId="6180C46B" w14:textId="77777777" w:rsidR="0053456F" w:rsidRDefault="0053456F" w:rsidP="003110C9">
      <w:pPr>
        <w:pStyle w:val="AD"/>
        <w:spacing w:line="276" w:lineRule="auto"/>
        <w:rPr>
          <w:rFonts w:hint="eastAsia"/>
        </w:rPr>
      </w:pPr>
      <w:r>
        <w:rPr>
          <w:rFonts w:hint="eastAsia"/>
        </w:rPr>
        <w:t>六、关于企业取得政府财政资金的收入时间确认问题</w:t>
      </w:r>
    </w:p>
    <w:p w14:paraId="23FC24F3" w14:textId="77777777" w:rsidR="0053456F" w:rsidRDefault="0053456F" w:rsidP="003110C9">
      <w:pPr>
        <w:pStyle w:val="AD"/>
        <w:spacing w:line="276" w:lineRule="auto"/>
      </w:pPr>
    </w:p>
    <w:p w14:paraId="1B223D38" w14:textId="77777777" w:rsidR="0053456F" w:rsidRDefault="0053456F" w:rsidP="003110C9">
      <w:pPr>
        <w:pStyle w:val="AD"/>
        <w:spacing w:line="276" w:lineRule="auto"/>
        <w:rPr>
          <w:rFonts w:hint="eastAsia"/>
        </w:rPr>
      </w:pPr>
      <w:r>
        <w:rPr>
          <w:rFonts w:hint="eastAsia"/>
        </w:rPr>
        <w:t>企业按照市场价格销售货物、提供劳务服务等，凡由政府财政部门根据企业销售货物、提供劳务服务的数量、金额的一定比例给予全部或部分资金支付的，应当按照权责发生制原则确认收入。</w:t>
      </w:r>
    </w:p>
    <w:p w14:paraId="0B935700" w14:textId="77777777" w:rsidR="0053456F" w:rsidRDefault="0053456F" w:rsidP="003110C9">
      <w:pPr>
        <w:pStyle w:val="AD"/>
        <w:spacing w:line="276" w:lineRule="auto"/>
      </w:pPr>
    </w:p>
    <w:p w14:paraId="2E7D63AF" w14:textId="77777777" w:rsidR="0053456F" w:rsidRDefault="0053456F" w:rsidP="003110C9">
      <w:pPr>
        <w:pStyle w:val="AD"/>
        <w:spacing w:line="276" w:lineRule="auto"/>
        <w:rPr>
          <w:rFonts w:hint="eastAsia"/>
        </w:rPr>
      </w:pPr>
      <w:r>
        <w:rPr>
          <w:rFonts w:hint="eastAsia"/>
        </w:rPr>
        <w:t>除上述情形外，企业取得的各种政府财政支付，如财政补贴、补助、补偿、退税等，应当按照实际取得收入的时间确认收入。</w:t>
      </w:r>
    </w:p>
    <w:p w14:paraId="1B65EB65" w14:textId="77777777" w:rsidR="0053456F" w:rsidRDefault="0053456F" w:rsidP="003110C9">
      <w:pPr>
        <w:pStyle w:val="AD"/>
        <w:spacing w:line="276" w:lineRule="auto"/>
      </w:pPr>
    </w:p>
    <w:p w14:paraId="30044BB9" w14:textId="77777777" w:rsidR="0053456F" w:rsidRDefault="0053456F" w:rsidP="003110C9">
      <w:pPr>
        <w:pStyle w:val="AD"/>
        <w:spacing w:line="276" w:lineRule="auto"/>
        <w:rPr>
          <w:rFonts w:hint="eastAsia"/>
        </w:rPr>
      </w:pPr>
      <w:r>
        <w:rPr>
          <w:rFonts w:hint="eastAsia"/>
        </w:rPr>
        <w:t>本公告适用于</w:t>
      </w:r>
      <w:r>
        <w:rPr>
          <w:rFonts w:hint="eastAsia"/>
        </w:rPr>
        <w:t>2021</w:t>
      </w:r>
      <w:r>
        <w:rPr>
          <w:rFonts w:hint="eastAsia"/>
        </w:rPr>
        <w:t>年及以后年度汇算清缴。</w:t>
      </w:r>
    </w:p>
    <w:p w14:paraId="2FD9BD5E" w14:textId="77777777" w:rsidR="0053456F" w:rsidRDefault="0053456F" w:rsidP="003110C9">
      <w:pPr>
        <w:pStyle w:val="AD"/>
        <w:spacing w:line="276" w:lineRule="auto"/>
      </w:pPr>
    </w:p>
    <w:p w14:paraId="4F428BB9" w14:textId="77777777" w:rsidR="0053456F" w:rsidRDefault="0053456F" w:rsidP="003110C9">
      <w:pPr>
        <w:pStyle w:val="AD"/>
        <w:spacing w:line="276" w:lineRule="auto"/>
        <w:rPr>
          <w:rFonts w:hint="eastAsia"/>
        </w:rPr>
      </w:pPr>
      <w:r>
        <w:rPr>
          <w:rFonts w:hint="eastAsia"/>
        </w:rPr>
        <w:t>特此公告。</w:t>
      </w:r>
    </w:p>
    <w:p w14:paraId="46F72A79" w14:textId="77777777" w:rsidR="0053456F" w:rsidRDefault="0053456F" w:rsidP="003110C9">
      <w:pPr>
        <w:pStyle w:val="AD"/>
        <w:spacing w:line="276" w:lineRule="auto"/>
      </w:pPr>
    </w:p>
    <w:p w14:paraId="16C36CA8" w14:textId="6F4F0A93" w:rsidR="0053456F" w:rsidRDefault="0053456F" w:rsidP="003110C9">
      <w:pPr>
        <w:pStyle w:val="AD"/>
        <w:spacing w:line="276" w:lineRule="auto"/>
        <w:jc w:val="right"/>
      </w:pPr>
      <w:r>
        <w:rPr>
          <w:rFonts w:hint="eastAsia"/>
        </w:rPr>
        <w:t>国家税务总局</w:t>
      </w:r>
    </w:p>
    <w:p w14:paraId="50509441" w14:textId="03B9AD9E" w:rsidR="00B15193" w:rsidRDefault="0053456F" w:rsidP="003110C9">
      <w:pPr>
        <w:pStyle w:val="AD"/>
        <w:spacing w:line="276" w:lineRule="auto"/>
        <w:jc w:val="right"/>
      </w:pPr>
      <w:r>
        <w:rPr>
          <w:rFonts w:hint="eastAsia"/>
        </w:rPr>
        <w:t>2021</w:t>
      </w:r>
      <w:r>
        <w:rPr>
          <w:rFonts w:hint="eastAsia"/>
        </w:rPr>
        <w:t>年</w:t>
      </w:r>
      <w:r>
        <w:rPr>
          <w:rFonts w:hint="eastAsia"/>
        </w:rPr>
        <w:t>6</w:t>
      </w:r>
      <w:r>
        <w:rPr>
          <w:rFonts w:hint="eastAsia"/>
        </w:rPr>
        <w:t>月</w:t>
      </w:r>
      <w:r>
        <w:rPr>
          <w:rFonts w:hint="eastAsia"/>
        </w:rPr>
        <w:t>22</w:t>
      </w:r>
      <w:r>
        <w:rPr>
          <w:rFonts w:hint="eastAsia"/>
        </w:rPr>
        <w:t>日</w:t>
      </w:r>
    </w:p>
    <w:p w14:paraId="05463DC6" w14:textId="72BC9152" w:rsidR="0053456F" w:rsidRDefault="0053456F" w:rsidP="003110C9">
      <w:pPr>
        <w:pStyle w:val="AD"/>
        <w:spacing w:line="276" w:lineRule="auto"/>
      </w:pPr>
    </w:p>
    <w:p w14:paraId="471FE010" w14:textId="2CE3A798" w:rsidR="0053456F" w:rsidRDefault="0053456F" w:rsidP="003110C9">
      <w:pPr>
        <w:pStyle w:val="AD"/>
        <w:spacing w:line="276" w:lineRule="auto"/>
      </w:pPr>
    </w:p>
    <w:p w14:paraId="34A14DA2" w14:textId="2B255E19" w:rsidR="0053456F" w:rsidRDefault="0053456F" w:rsidP="003110C9">
      <w:pPr>
        <w:pStyle w:val="AD"/>
        <w:spacing w:line="276" w:lineRule="auto"/>
      </w:pPr>
      <w:r>
        <w:rPr>
          <w:rFonts w:hint="eastAsia"/>
        </w:rPr>
        <w:t>信息来源：</w:t>
      </w:r>
      <w:hyperlink r:id="rId6" w:history="1">
        <w:r w:rsidRPr="00440E5D">
          <w:rPr>
            <w:rStyle w:val="a9"/>
          </w:rPr>
          <w:t>http://www.chinatax.gov.cn/chinatax/n362/c5165844/content.html</w:t>
        </w:r>
      </w:hyperlink>
    </w:p>
    <w:p w14:paraId="4A4222FF" w14:textId="77777777" w:rsidR="0053456F" w:rsidRPr="0053456F" w:rsidRDefault="0053456F" w:rsidP="003110C9">
      <w:pPr>
        <w:pStyle w:val="AD"/>
        <w:spacing w:line="276" w:lineRule="auto"/>
        <w:rPr>
          <w:rFonts w:hint="eastAsia"/>
        </w:rPr>
      </w:pPr>
    </w:p>
    <w:sectPr w:rsidR="0053456F" w:rsidRPr="0053456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FD92" w14:textId="77777777" w:rsidR="00FA1568" w:rsidRDefault="00FA1568" w:rsidP="00C20A6A">
      <w:pPr>
        <w:spacing w:line="240" w:lineRule="auto"/>
      </w:pPr>
      <w:r>
        <w:separator/>
      </w:r>
    </w:p>
  </w:endnote>
  <w:endnote w:type="continuationSeparator" w:id="0">
    <w:p w14:paraId="705E7E14" w14:textId="77777777" w:rsidR="00FA1568" w:rsidRDefault="00FA156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77EF" w14:textId="77777777" w:rsidR="00FA1568" w:rsidRDefault="00FA1568" w:rsidP="00C20A6A">
      <w:pPr>
        <w:spacing w:line="240" w:lineRule="auto"/>
      </w:pPr>
      <w:r>
        <w:separator/>
      </w:r>
    </w:p>
  </w:footnote>
  <w:footnote w:type="continuationSeparator" w:id="0">
    <w:p w14:paraId="16B70673" w14:textId="77777777" w:rsidR="00FA1568" w:rsidRDefault="00FA156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B5BCC"/>
    <w:rsid w:val="000F4C6A"/>
    <w:rsid w:val="00176A25"/>
    <w:rsid w:val="001C4C6F"/>
    <w:rsid w:val="003110C9"/>
    <w:rsid w:val="003D27E2"/>
    <w:rsid w:val="0053456F"/>
    <w:rsid w:val="005F7C76"/>
    <w:rsid w:val="007060D1"/>
    <w:rsid w:val="007D7BDB"/>
    <w:rsid w:val="00A548E7"/>
    <w:rsid w:val="00B15193"/>
    <w:rsid w:val="00B731F1"/>
    <w:rsid w:val="00BB5BCC"/>
    <w:rsid w:val="00C20A6A"/>
    <w:rsid w:val="00C22624"/>
    <w:rsid w:val="00D02718"/>
    <w:rsid w:val="00FA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F20C9"/>
  <w15:chartTrackingRefBased/>
  <w15:docId w15:val="{CE41D44A-9385-48FF-9178-3EBAA652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3456F"/>
    <w:pPr>
      <w:ind w:leftChars="2500" w:left="100"/>
    </w:pPr>
  </w:style>
  <w:style w:type="character" w:customStyle="1" w:styleId="a8">
    <w:name w:val="日期 字符"/>
    <w:basedOn w:val="a0"/>
    <w:link w:val="a7"/>
    <w:uiPriority w:val="99"/>
    <w:semiHidden/>
    <w:rsid w:val="0053456F"/>
    <w:rPr>
      <w:rFonts w:ascii="Arial" w:eastAsia="宋体" w:hAnsi="Arial"/>
      <w:sz w:val="22"/>
    </w:rPr>
  </w:style>
  <w:style w:type="character" w:styleId="a9">
    <w:name w:val="Hyperlink"/>
    <w:basedOn w:val="a0"/>
    <w:uiPriority w:val="99"/>
    <w:unhideWhenUsed/>
    <w:rsid w:val="0053456F"/>
    <w:rPr>
      <w:color w:val="0000FF" w:themeColor="hyperlink"/>
      <w:u w:val="single"/>
    </w:rPr>
  </w:style>
  <w:style w:type="character" w:styleId="aa">
    <w:name w:val="Unresolved Mention"/>
    <w:basedOn w:val="a0"/>
    <w:uiPriority w:val="99"/>
    <w:semiHidden/>
    <w:unhideWhenUsed/>
    <w:rsid w:val="00534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362/c5165844/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2021-07-01T10:18:00Z</dcterms:created>
  <dcterms:modified xsi:type="dcterms:W3CDTF">2021-07-01T10:18:00Z</dcterms:modified>
</cp:coreProperties>
</file>