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99503" w14:textId="4E9144B0" w:rsidR="00EE10C0" w:rsidRPr="00FB1409" w:rsidRDefault="00EE10C0" w:rsidP="00DF6D48">
      <w:pPr>
        <w:pStyle w:val="AD"/>
        <w:spacing w:line="276" w:lineRule="auto"/>
        <w:jc w:val="center"/>
        <w:rPr>
          <w:b/>
          <w:bCs/>
          <w:color w:val="E36C0A" w:themeColor="accent6" w:themeShade="BF"/>
          <w:sz w:val="32"/>
          <w:szCs w:val="32"/>
        </w:rPr>
      </w:pPr>
      <w:r w:rsidRPr="00FB1409">
        <w:rPr>
          <w:rFonts w:hint="eastAsia"/>
          <w:b/>
          <w:bCs/>
          <w:color w:val="E36C0A" w:themeColor="accent6" w:themeShade="BF"/>
          <w:sz w:val="32"/>
          <w:szCs w:val="32"/>
        </w:rPr>
        <w:t>关于规范现金管理类理财产品管理有关事项的通知</w:t>
      </w:r>
    </w:p>
    <w:p w14:paraId="3604ECE1" w14:textId="77777777" w:rsidR="004E495C" w:rsidRDefault="004E495C" w:rsidP="00DF6D48">
      <w:pPr>
        <w:pStyle w:val="AD"/>
        <w:spacing w:line="276" w:lineRule="auto"/>
      </w:pPr>
    </w:p>
    <w:p w14:paraId="7FC6586C" w14:textId="77777777" w:rsidR="00EE10C0" w:rsidRDefault="00EE10C0" w:rsidP="00DF6D48">
      <w:pPr>
        <w:pStyle w:val="AD"/>
        <w:spacing w:line="276" w:lineRule="auto"/>
      </w:pPr>
      <w:proofErr w:type="gramStart"/>
      <w:r>
        <w:rPr>
          <w:rFonts w:hint="eastAsia"/>
        </w:rPr>
        <w:t>各银保</w:t>
      </w:r>
      <w:proofErr w:type="gramEnd"/>
      <w:r>
        <w:rPr>
          <w:rFonts w:hint="eastAsia"/>
        </w:rPr>
        <w:t>监局；中国人民银行上海总部，各分行、营业管理部，各省会（首府）城市中心支行，各副省级城市中心支行；各政策性银行、大型银行、股份制银行、外资银行、理财公司：</w:t>
      </w:r>
    </w:p>
    <w:p w14:paraId="773B3140" w14:textId="77777777" w:rsidR="00EE10C0" w:rsidRDefault="00EE10C0" w:rsidP="00DF6D48">
      <w:pPr>
        <w:pStyle w:val="AD"/>
        <w:spacing w:line="276" w:lineRule="auto"/>
      </w:pPr>
    </w:p>
    <w:p w14:paraId="34DD5492" w14:textId="77777777" w:rsidR="00EE10C0" w:rsidRDefault="00EE10C0" w:rsidP="00DF6D48">
      <w:pPr>
        <w:pStyle w:val="AD"/>
        <w:spacing w:line="276" w:lineRule="auto"/>
      </w:pPr>
      <w:r>
        <w:rPr>
          <w:rFonts w:hint="eastAsia"/>
        </w:rPr>
        <w:t>为加强对商业银行、理财公司现金管理类理财产品（以下简称现金管理类产品）的监督管理，促进现金管理类产品业务规范健康发展，依法保护投资者合法权益，现就规范现金管理类产品管理有关事项通知如下：</w:t>
      </w:r>
    </w:p>
    <w:p w14:paraId="2A02234E" w14:textId="77777777" w:rsidR="00EE10C0" w:rsidRDefault="00EE10C0" w:rsidP="00DF6D48">
      <w:pPr>
        <w:pStyle w:val="AD"/>
        <w:spacing w:line="276" w:lineRule="auto"/>
      </w:pPr>
    </w:p>
    <w:p w14:paraId="2F113F01" w14:textId="77777777" w:rsidR="00EE10C0" w:rsidRDefault="00EE10C0" w:rsidP="00DF6D48">
      <w:pPr>
        <w:pStyle w:val="AD"/>
        <w:spacing w:line="276" w:lineRule="auto"/>
      </w:pPr>
      <w:r>
        <w:rPr>
          <w:rFonts w:hint="eastAsia"/>
        </w:rPr>
        <w:t>一、本通知所称现金管理类产品是指仅投资于货币市场工具，每个交易日可办理产品份额认购、赎回的商业银行或者理财公司理财产品。在产品名称中使用“货币”“现金”“流动”等类似字样的理财产品视为现金管理类产品，适用本通知。</w:t>
      </w:r>
    </w:p>
    <w:p w14:paraId="43AAD0C5" w14:textId="77777777" w:rsidR="00EE10C0" w:rsidRDefault="00EE10C0" w:rsidP="00DF6D48">
      <w:pPr>
        <w:pStyle w:val="AD"/>
        <w:spacing w:line="276" w:lineRule="auto"/>
      </w:pPr>
    </w:p>
    <w:p w14:paraId="0B17F361" w14:textId="77777777" w:rsidR="00EE10C0" w:rsidRDefault="00EE10C0" w:rsidP="00DF6D48">
      <w:pPr>
        <w:pStyle w:val="AD"/>
        <w:spacing w:line="276" w:lineRule="auto"/>
      </w:pPr>
      <w:r>
        <w:rPr>
          <w:rFonts w:hint="eastAsia"/>
        </w:rPr>
        <w:t>本通知所称理财公司是指在中华人民共和国境内依法设立的商业银行理财子公司，以及中国银行保险监督管理委员会（以下简称银保监会）批准设立的其他主要从事理财业务的非银行金融机构。</w:t>
      </w:r>
    </w:p>
    <w:p w14:paraId="30E0939A" w14:textId="77777777" w:rsidR="00EE10C0" w:rsidRDefault="00EE10C0" w:rsidP="00DF6D48">
      <w:pPr>
        <w:pStyle w:val="AD"/>
        <w:spacing w:line="276" w:lineRule="auto"/>
      </w:pPr>
    </w:p>
    <w:p w14:paraId="328B39BD" w14:textId="77777777" w:rsidR="00EE10C0" w:rsidRDefault="00EE10C0" w:rsidP="00DF6D48">
      <w:pPr>
        <w:pStyle w:val="AD"/>
        <w:spacing w:line="276" w:lineRule="auto"/>
      </w:pPr>
      <w:r>
        <w:rPr>
          <w:rFonts w:hint="eastAsia"/>
        </w:rPr>
        <w:t>银保监会、中国人民银行依照法律、行政法规、本通知的规定和审慎监管原则，对现金管理类产品运作实施监督管理。</w:t>
      </w:r>
    </w:p>
    <w:p w14:paraId="2232C361" w14:textId="77777777" w:rsidR="00EE10C0" w:rsidRDefault="00EE10C0" w:rsidP="00DF6D48">
      <w:pPr>
        <w:pStyle w:val="AD"/>
        <w:spacing w:line="276" w:lineRule="auto"/>
      </w:pPr>
    </w:p>
    <w:p w14:paraId="107E312A" w14:textId="77777777" w:rsidR="00EE10C0" w:rsidRDefault="00EE10C0" w:rsidP="00DF6D48">
      <w:pPr>
        <w:pStyle w:val="AD"/>
        <w:spacing w:line="276" w:lineRule="auto"/>
      </w:pPr>
      <w:r>
        <w:rPr>
          <w:rFonts w:hint="eastAsia"/>
        </w:rPr>
        <w:t>二、现金管理类产品应当投资于以下金融工具：</w:t>
      </w:r>
    </w:p>
    <w:p w14:paraId="5430D254" w14:textId="77777777" w:rsidR="00EE10C0" w:rsidRDefault="00EE10C0" w:rsidP="00DF6D48">
      <w:pPr>
        <w:pStyle w:val="AD"/>
        <w:spacing w:line="276" w:lineRule="auto"/>
      </w:pPr>
    </w:p>
    <w:p w14:paraId="7001B196" w14:textId="77777777" w:rsidR="00EE10C0" w:rsidRDefault="00EE10C0" w:rsidP="00DF6D48">
      <w:pPr>
        <w:pStyle w:val="AD"/>
        <w:spacing w:line="276" w:lineRule="auto"/>
      </w:pPr>
      <w:r>
        <w:rPr>
          <w:rFonts w:hint="eastAsia"/>
        </w:rPr>
        <w:t>（一）现金；</w:t>
      </w:r>
    </w:p>
    <w:p w14:paraId="0C06B5DD" w14:textId="77777777" w:rsidR="00EE10C0" w:rsidRDefault="00EE10C0" w:rsidP="00DF6D48">
      <w:pPr>
        <w:pStyle w:val="AD"/>
        <w:spacing w:line="276" w:lineRule="auto"/>
      </w:pPr>
    </w:p>
    <w:p w14:paraId="787BA830" w14:textId="77777777" w:rsidR="00EE10C0" w:rsidRDefault="00EE10C0" w:rsidP="00DF6D48">
      <w:pPr>
        <w:pStyle w:val="AD"/>
        <w:spacing w:line="276" w:lineRule="auto"/>
      </w:pPr>
      <w:r>
        <w:rPr>
          <w:rFonts w:hint="eastAsia"/>
        </w:rPr>
        <w:t>（二）期限在</w:t>
      </w:r>
      <w:r>
        <w:rPr>
          <w:rFonts w:hint="eastAsia"/>
        </w:rPr>
        <w:t>1</w:t>
      </w:r>
      <w:r>
        <w:rPr>
          <w:rFonts w:hint="eastAsia"/>
        </w:rPr>
        <w:t>年以内（含</w:t>
      </w:r>
      <w:r>
        <w:rPr>
          <w:rFonts w:hint="eastAsia"/>
        </w:rPr>
        <w:t>1</w:t>
      </w:r>
      <w:r>
        <w:rPr>
          <w:rFonts w:hint="eastAsia"/>
        </w:rPr>
        <w:t>年）的银行存款、债券回购、中央银行票据、同业存单；</w:t>
      </w:r>
    </w:p>
    <w:p w14:paraId="3AF02F86" w14:textId="77777777" w:rsidR="00EE10C0" w:rsidRDefault="00EE10C0" w:rsidP="00DF6D48">
      <w:pPr>
        <w:pStyle w:val="AD"/>
        <w:spacing w:line="276" w:lineRule="auto"/>
      </w:pPr>
    </w:p>
    <w:p w14:paraId="2B5C0BB6" w14:textId="77777777" w:rsidR="00EE10C0" w:rsidRDefault="00EE10C0" w:rsidP="00DF6D48">
      <w:pPr>
        <w:pStyle w:val="AD"/>
        <w:spacing w:line="276" w:lineRule="auto"/>
      </w:pPr>
      <w:r>
        <w:rPr>
          <w:rFonts w:hint="eastAsia"/>
        </w:rPr>
        <w:t>（三）剩余期限在</w:t>
      </w:r>
      <w:r>
        <w:rPr>
          <w:rFonts w:hint="eastAsia"/>
        </w:rPr>
        <w:t>397</w:t>
      </w:r>
      <w:r>
        <w:rPr>
          <w:rFonts w:hint="eastAsia"/>
        </w:rPr>
        <w:t>天以内（含</w:t>
      </w:r>
      <w:r>
        <w:rPr>
          <w:rFonts w:hint="eastAsia"/>
        </w:rPr>
        <w:t>397</w:t>
      </w:r>
      <w:r>
        <w:rPr>
          <w:rFonts w:hint="eastAsia"/>
        </w:rPr>
        <w:t>天）的债券、在银行间市场和证券交易所市场发行的资产支持证券；</w:t>
      </w:r>
    </w:p>
    <w:p w14:paraId="053A0B67" w14:textId="77777777" w:rsidR="00EE10C0" w:rsidRDefault="00EE10C0" w:rsidP="00DF6D48">
      <w:pPr>
        <w:pStyle w:val="AD"/>
        <w:spacing w:line="276" w:lineRule="auto"/>
      </w:pPr>
    </w:p>
    <w:p w14:paraId="1ED4306F" w14:textId="77777777" w:rsidR="00EE10C0" w:rsidRDefault="00EE10C0" w:rsidP="00DF6D48">
      <w:pPr>
        <w:pStyle w:val="AD"/>
        <w:spacing w:line="276" w:lineRule="auto"/>
      </w:pPr>
      <w:r>
        <w:rPr>
          <w:rFonts w:hint="eastAsia"/>
        </w:rPr>
        <w:t>（四）银保监会、中国人民银行认可的其他具有良好流动性的货币市场工具。</w:t>
      </w:r>
    </w:p>
    <w:p w14:paraId="4D52C6C6" w14:textId="77777777" w:rsidR="00EE10C0" w:rsidRDefault="00EE10C0" w:rsidP="00DF6D48">
      <w:pPr>
        <w:pStyle w:val="AD"/>
        <w:spacing w:line="276" w:lineRule="auto"/>
      </w:pPr>
    </w:p>
    <w:p w14:paraId="7BA07976" w14:textId="77777777" w:rsidR="00EE10C0" w:rsidRDefault="00EE10C0" w:rsidP="00DF6D48">
      <w:pPr>
        <w:pStyle w:val="AD"/>
        <w:spacing w:line="276" w:lineRule="auto"/>
      </w:pPr>
      <w:r>
        <w:rPr>
          <w:rFonts w:hint="eastAsia"/>
        </w:rPr>
        <w:t>现金管理类产品不得投资于以下金融工具：</w:t>
      </w:r>
    </w:p>
    <w:p w14:paraId="56609469" w14:textId="77777777" w:rsidR="00EE10C0" w:rsidRDefault="00EE10C0" w:rsidP="00DF6D48">
      <w:pPr>
        <w:pStyle w:val="AD"/>
        <w:spacing w:line="276" w:lineRule="auto"/>
      </w:pPr>
    </w:p>
    <w:p w14:paraId="522A5364" w14:textId="77777777" w:rsidR="00EE10C0" w:rsidRDefault="00EE10C0" w:rsidP="00DF6D48">
      <w:pPr>
        <w:pStyle w:val="AD"/>
        <w:spacing w:line="276" w:lineRule="auto"/>
      </w:pPr>
      <w:r>
        <w:rPr>
          <w:rFonts w:hint="eastAsia"/>
        </w:rPr>
        <w:t>（一）股票；</w:t>
      </w:r>
    </w:p>
    <w:p w14:paraId="3CCDF59A" w14:textId="77777777" w:rsidR="00EE10C0" w:rsidRDefault="00EE10C0" w:rsidP="00DF6D48">
      <w:pPr>
        <w:pStyle w:val="AD"/>
        <w:spacing w:line="276" w:lineRule="auto"/>
      </w:pPr>
    </w:p>
    <w:p w14:paraId="4453D95B" w14:textId="77777777" w:rsidR="00EE10C0" w:rsidRDefault="00EE10C0" w:rsidP="00DF6D48">
      <w:pPr>
        <w:pStyle w:val="AD"/>
        <w:spacing w:line="276" w:lineRule="auto"/>
      </w:pPr>
      <w:r>
        <w:rPr>
          <w:rFonts w:hint="eastAsia"/>
        </w:rPr>
        <w:t>（二）可转换债券、可交换债券；</w:t>
      </w:r>
    </w:p>
    <w:p w14:paraId="5FC64BAD" w14:textId="77777777" w:rsidR="00EE10C0" w:rsidRDefault="00EE10C0" w:rsidP="00DF6D48">
      <w:pPr>
        <w:pStyle w:val="AD"/>
        <w:spacing w:line="276" w:lineRule="auto"/>
      </w:pPr>
    </w:p>
    <w:p w14:paraId="555220F6" w14:textId="77777777" w:rsidR="00EE10C0" w:rsidRDefault="00EE10C0" w:rsidP="00DF6D48">
      <w:pPr>
        <w:pStyle w:val="AD"/>
        <w:spacing w:line="276" w:lineRule="auto"/>
      </w:pPr>
      <w:r>
        <w:rPr>
          <w:rFonts w:hint="eastAsia"/>
        </w:rPr>
        <w:t>（三）以定期存款利率为基准利率的浮动利率债券，已进入最后一个利率调整期的除外；</w:t>
      </w:r>
    </w:p>
    <w:p w14:paraId="4AC75389" w14:textId="77777777" w:rsidR="00EE10C0" w:rsidRDefault="00EE10C0" w:rsidP="00DF6D48">
      <w:pPr>
        <w:pStyle w:val="AD"/>
        <w:spacing w:line="276" w:lineRule="auto"/>
      </w:pPr>
    </w:p>
    <w:p w14:paraId="5BDC8443" w14:textId="77777777" w:rsidR="00EE10C0" w:rsidRDefault="00EE10C0" w:rsidP="00DF6D48">
      <w:pPr>
        <w:pStyle w:val="AD"/>
        <w:spacing w:line="276" w:lineRule="auto"/>
      </w:pPr>
      <w:r>
        <w:rPr>
          <w:rFonts w:hint="eastAsia"/>
        </w:rPr>
        <w:lastRenderedPageBreak/>
        <w:t>（四）信用等级在</w:t>
      </w:r>
      <w:r>
        <w:rPr>
          <w:rFonts w:hint="eastAsia"/>
        </w:rPr>
        <w:t>AA+</w:t>
      </w:r>
      <w:r>
        <w:rPr>
          <w:rFonts w:hint="eastAsia"/>
        </w:rPr>
        <w:t>以下的债券、资产支持证券；</w:t>
      </w:r>
    </w:p>
    <w:p w14:paraId="35CAE1D8" w14:textId="77777777" w:rsidR="00EE10C0" w:rsidRDefault="00EE10C0" w:rsidP="00DF6D48">
      <w:pPr>
        <w:pStyle w:val="AD"/>
        <w:spacing w:line="276" w:lineRule="auto"/>
      </w:pPr>
    </w:p>
    <w:p w14:paraId="4346FDB3" w14:textId="77777777" w:rsidR="00EE10C0" w:rsidRDefault="00EE10C0" w:rsidP="00DF6D48">
      <w:pPr>
        <w:pStyle w:val="AD"/>
        <w:spacing w:line="276" w:lineRule="auto"/>
      </w:pPr>
      <w:r>
        <w:rPr>
          <w:rFonts w:hint="eastAsia"/>
        </w:rPr>
        <w:t>（五）银保监会、中国人民银行禁止投资的其他金融工具。</w:t>
      </w:r>
    </w:p>
    <w:p w14:paraId="157F9AE4" w14:textId="77777777" w:rsidR="00EE10C0" w:rsidRDefault="00EE10C0" w:rsidP="00DF6D48">
      <w:pPr>
        <w:pStyle w:val="AD"/>
        <w:spacing w:line="276" w:lineRule="auto"/>
      </w:pPr>
    </w:p>
    <w:p w14:paraId="5B65CEA7" w14:textId="77777777" w:rsidR="00EE10C0" w:rsidRDefault="00EE10C0" w:rsidP="00DF6D48">
      <w:pPr>
        <w:pStyle w:val="AD"/>
        <w:spacing w:line="276" w:lineRule="auto"/>
      </w:pPr>
      <w:r>
        <w:rPr>
          <w:rFonts w:hint="eastAsia"/>
        </w:rPr>
        <w:t>前款所述债券的信用等级应当主要参照最近一个会计年度的主体信用评级，如果对发行人同时有两家以上境内评级机构评级的，应当选择使用评级较低、违约概率较大的外部评级结果。商业银行、理财公司不应完全依赖外部评级机构的评级结果，还需结合内部评级进行独立判断和认定。</w:t>
      </w:r>
    </w:p>
    <w:p w14:paraId="6BB5D4DA" w14:textId="77777777" w:rsidR="00EE10C0" w:rsidRDefault="00EE10C0" w:rsidP="00DF6D48">
      <w:pPr>
        <w:pStyle w:val="AD"/>
        <w:spacing w:line="276" w:lineRule="auto"/>
      </w:pPr>
    </w:p>
    <w:p w14:paraId="39B39686" w14:textId="77777777" w:rsidR="00EE10C0" w:rsidRDefault="00EE10C0" w:rsidP="00DF6D48">
      <w:pPr>
        <w:pStyle w:val="AD"/>
        <w:spacing w:line="276" w:lineRule="auto"/>
      </w:pPr>
      <w:r>
        <w:rPr>
          <w:rFonts w:hint="eastAsia"/>
        </w:rPr>
        <w:t>三、现金管理类产品投资于相关金融工具的，应当符合以下要求：</w:t>
      </w:r>
    </w:p>
    <w:p w14:paraId="39A258BD" w14:textId="77777777" w:rsidR="00EE10C0" w:rsidRDefault="00EE10C0" w:rsidP="00DF6D48">
      <w:pPr>
        <w:pStyle w:val="AD"/>
        <w:spacing w:line="276" w:lineRule="auto"/>
      </w:pPr>
    </w:p>
    <w:p w14:paraId="24331E22" w14:textId="77777777" w:rsidR="00EE10C0" w:rsidRDefault="00EE10C0" w:rsidP="00DF6D48">
      <w:pPr>
        <w:pStyle w:val="AD"/>
        <w:spacing w:line="276" w:lineRule="auto"/>
      </w:pPr>
      <w:r>
        <w:rPr>
          <w:rFonts w:hint="eastAsia"/>
        </w:rPr>
        <w:t>（一）每只现金管理类产品投资于同一机构发行的债券及其作为原始权益人的资产支持证券的比例合计不得超过该产品资产净值的</w:t>
      </w:r>
      <w:r>
        <w:rPr>
          <w:rFonts w:hint="eastAsia"/>
        </w:rPr>
        <w:t>10%</w:t>
      </w:r>
      <w:r>
        <w:rPr>
          <w:rFonts w:hint="eastAsia"/>
        </w:rPr>
        <w:t>，投资于国债、中央银行票据、政策性金融债券的除外。</w:t>
      </w:r>
    </w:p>
    <w:p w14:paraId="5817BF2A" w14:textId="77777777" w:rsidR="00EE10C0" w:rsidRDefault="00EE10C0" w:rsidP="00DF6D48">
      <w:pPr>
        <w:pStyle w:val="AD"/>
        <w:spacing w:line="276" w:lineRule="auto"/>
      </w:pPr>
    </w:p>
    <w:p w14:paraId="220D8CAB" w14:textId="77777777" w:rsidR="00EE10C0" w:rsidRDefault="00EE10C0" w:rsidP="00DF6D48">
      <w:pPr>
        <w:pStyle w:val="AD"/>
        <w:spacing w:line="276" w:lineRule="auto"/>
      </w:pPr>
      <w:r>
        <w:rPr>
          <w:rFonts w:hint="eastAsia"/>
        </w:rPr>
        <w:t>（二）每只现金管理类产品投资于所有主体信用评级低于</w:t>
      </w:r>
      <w:r>
        <w:rPr>
          <w:rFonts w:hint="eastAsia"/>
        </w:rPr>
        <w:t>AAA</w:t>
      </w:r>
      <w:r>
        <w:rPr>
          <w:rFonts w:hint="eastAsia"/>
        </w:rPr>
        <w:t>的机构发行的金融工具的比例合计不得超过该产品资产净值的</w:t>
      </w:r>
      <w:r>
        <w:rPr>
          <w:rFonts w:hint="eastAsia"/>
        </w:rPr>
        <w:t>10%</w:t>
      </w:r>
      <w:r>
        <w:rPr>
          <w:rFonts w:hint="eastAsia"/>
        </w:rPr>
        <w:t>，其中单一机构发行的金融工具的比例合计不得超过该产品资产净值的</w:t>
      </w:r>
      <w:r>
        <w:rPr>
          <w:rFonts w:hint="eastAsia"/>
        </w:rPr>
        <w:t>2%</w:t>
      </w:r>
      <w:r>
        <w:rPr>
          <w:rFonts w:hint="eastAsia"/>
        </w:rPr>
        <w:t>；本款所称金融工具包括债券、银行存款、同业存单、相关机构作为原始权益人的资产支持证券及银保监会认可的其他金融工具。</w:t>
      </w:r>
    </w:p>
    <w:p w14:paraId="7CDA50DD" w14:textId="77777777" w:rsidR="00EE10C0" w:rsidRDefault="00EE10C0" w:rsidP="00DF6D48">
      <w:pPr>
        <w:pStyle w:val="AD"/>
        <w:spacing w:line="276" w:lineRule="auto"/>
      </w:pPr>
    </w:p>
    <w:p w14:paraId="5E5D18D5" w14:textId="77777777" w:rsidR="00EE10C0" w:rsidRDefault="00EE10C0" w:rsidP="00DF6D48">
      <w:pPr>
        <w:pStyle w:val="AD"/>
        <w:spacing w:line="276" w:lineRule="auto"/>
      </w:pPr>
      <w:r>
        <w:rPr>
          <w:rFonts w:hint="eastAsia"/>
        </w:rPr>
        <w:t>（三）每只现金管理类产品投资于有固定期限银行存款的比例合计不得超过该产品资产净值的</w:t>
      </w:r>
      <w:r>
        <w:rPr>
          <w:rFonts w:hint="eastAsia"/>
        </w:rPr>
        <w:t>30%</w:t>
      </w:r>
      <w:r>
        <w:rPr>
          <w:rFonts w:hint="eastAsia"/>
        </w:rPr>
        <w:t>，投资于有存款期限，根据协议可提前支取的银行存款除外；每只现金管理类产品投资于主体信用评级为</w:t>
      </w:r>
      <w:r>
        <w:rPr>
          <w:rFonts w:hint="eastAsia"/>
        </w:rPr>
        <w:t>AAA</w:t>
      </w:r>
      <w:r>
        <w:rPr>
          <w:rFonts w:hint="eastAsia"/>
        </w:rPr>
        <w:t>的同一商业银行的银行存款、同业存单占该产品资产净值的比例合计不得超过</w:t>
      </w:r>
      <w:r>
        <w:rPr>
          <w:rFonts w:hint="eastAsia"/>
        </w:rPr>
        <w:t>20%</w:t>
      </w:r>
      <w:r>
        <w:rPr>
          <w:rFonts w:hint="eastAsia"/>
        </w:rPr>
        <w:t>。</w:t>
      </w:r>
    </w:p>
    <w:p w14:paraId="348E889C" w14:textId="77777777" w:rsidR="00EE10C0" w:rsidRDefault="00EE10C0" w:rsidP="00DF6D48">
      <w:pPr>
        <w:pStyle w:val="AD"/>
        <w:spacing w:line="276" w:lineRule="auto"/>
      </w:pPr>
    </w:p>
    <w:p w14:paraId="5B1B8B5B" w14:textId="77777777" w:rsidR="00EE10C0" w:rsidRDefault="00EE10C0" w:rsidP="00DF6D48">
      <w:pPr>
        <w:pStyle w:val="AD"/>
        <w:spacing w:line="276" w:lineRule="auto"/>
      </w:pPr>
      <w:r>
        <w:rPr>
          <w:rFonts w:hint="eastAsia"/>
        </w:rPr>
        <w:t>（四）全部现金管理类产品投资于同一商业银行的存款、同业存单和债券，不得超过该商业银行最近一个季度末净资产的</w:t>
      </w:r>
      <w:r>
        <w:rPr>
          <w:rFonts w:hint="eastAsia"/>
        </w:rPr>
        <w:t>10%</w:t>
      </w:r>
      <w:r>
        <w:rPr>
          <w:rFonts w:hint="eastAsia"/>
        </w:rPr>
        <w:t>。</w:t>
      </w:r>
    </w:p>
    <w:p w14:paraId="4ABE1539" w14:textId="77777777" w:rsidR="00EE10C0" w:rsidRDefault="00EE10C0" w:rsidP="00DF6D48">
      <w:pPr>
        <w:pStyle w:val="AD"/>
        <w:spacing w:line="276" w:lineRule="auto"/>
      </w:pPr>
    </w:p>
    <w:p w14:paraId="79410C83" w14:textId="77777777" w:rsidR="00EE10C0" w:rsidRDefault="00EE10C0" w:rsidP="00DF6D48">
      <w:pPr>
        <w:pStyle w:val="AD"/>
        <w:spacing w:line="276" w:lineRule="auto"/>
      </w:pPr>
      <w:r>
        <w:rPr>
          <w:rFonts w:hint="eastAsia"/>
        </w:rPr>
        <w:t>（五）商业银行、理财公司现金管理类产品拟投资于主体信用评级低于</w:t>
      </w:r>
      <w:r>
        <w:rPr>
          <w:rFonts w:hint="eastAsia"/>
        </w:rPr>
        <w:t>AA+</w:t>
      </w:r>
      <w:r>
        <w:rPr>
          <w:rFonts w:hint="eastAsia"/>
        </w:rPr>
        <w:t>的商业银行的银行存款与同业存单的，应当经本机构董事会审议批准，相关交易应当事先告知托管机构，并作为重大事项履行信息披露程序。</w:t>
      </w:r>
    </w:p>
    <w:p w14:paraId="4F89F181" w14:textId="77777777" w:rsidR="00EE10C0" w:rsidRDefault="00EE10C0" w:rsidP="00DF6D48">
      <w:pPr>
        <w:pStyle w:val="AD"/>
        <w:spacing w:line="276" w:lineRule="auto"/>
      </w:pPr>
    </w:p>
    <w:p w14:paraId="7A02BBB3" w14:textId="77777777" w:rsidR="00EE10C0" w:rsidRDefault="00EE10C0" w:rsidP="00DF6D48">
      <w:pPr>
        <w:pStyle w:val="AD"/>
        <w:spacing w:line="276" w:lineRule="auto"/>
      </w:pPr>
      <w:r>
        <w:rPr>
          <w:rFonts w:hint="eastAsia"/>
        </w:rPr>
        <w:t>非主观因素导致突破前款各项比例限制的，商业银行、理财公司应当在</w:t>
      </w:r>
      <w:r>
        <w:rPr>
          <w:rFonts w:hint="eastAsia"/>
        </w:rPr>
        <w:t>10</w:t>
      </w:r>
      <w:r>
        <w:rPr>
          <w:rFonts w:hint="eastAsia"/>
        </w:rPr>
        <w:t>个交易日内调整至符合要求，银保监会规定的特殊情形除外。</w:t>
      </w:r>
    </w:p>
    <w:p w14:paraId="55E7BA10" w14:textId="77777777" w:rsidR="00EE10C0" w:rsidRDefault="00EE10C0" w:rsidP="00DF6D48">
      <w:pPr>
        <w:pStyle w:val="AD"/>
        <w:spacing w:line="276" w:lineRule="auto"/>
      </w:pPr>
    </w:p>
    <w:p w14:paraId="35D9D15A" w14:textId="77777777" w:rsidR="00EE10C0" w:rsidRDefault="00EE10C0" w:rsidP="00DF6D48">
      <w:pPr>
        <w:pStyle w:val="AD"/>
        <w:spacing w:line="276" w:lineRule="auto"/>
      </w:pPr>
      <w:r>
        <w:rPr>
          <w:rFonts w:hint="eastAsia"/>
        </w:rPr>
        <w:t>四、现金管理类产品应当确保持有足够的具有良好流动性的资产，其投资组合应当符合以下要求：</w:t>
      </w:r>
    </w:p>
    <w:p w14:paraId="004145DC" w14:textId="77777777" w:rsidR="00EE10C0" w:rsidRDefault="00EE10C0" w:rsidP="00DF6D48">
      <w:pPr>
        <w:pStyle w:val="AD"/>
        <w:spacing w:line="276" w:lineRule="auto"/>
      </w:pPr>
    </w:p>
    <w:p w14:paraId="6321CC6E" w14:textId="77777777" w:rsidR="00EE10C0" w:rsidRDefault="00EE10C0" w:rsidP="00DF6D48">
      <w:pPr>
        <w:pStyle w:val="AD"/>
        <w:spacing w:line="276" w:lineRule="auto"/>
      </w:pPr>
      <w:r>
        <w:rPr>
          <w:rFonts w:hint="eastAsia"/>
        </w:rPr>
        <w:t>（一）每只现金管理类产品持有不低于该产品资产净值</w:t>
      </w:r>
      <w:r>
        <w:rPr>
          <w:rFonts w:hint="eastAsia"/>
        </w:rPr>
        <w:t>5%</w:t>
      </w:r>
      <w:r>
        <w:rPr>
          <w:rFonts w:hint="eastAsia"/>
        </w:rPr>
        <w:t>的现金、国债、中央银行票据、政策</w:t>
      </w:r>
      <w:r>
        <w:rPr>
          <w:rFonts w:hint="eastAsia"/>
        </w:rPr>
        <w:lastRenderedPageBreak/>
        <w:t>性金融债券；</w:t>
      </w:r>
    </w:p>
    <w:p w14:paraId="22AC8B0E" w14:textId="77777777" w:rsidR="00EE10C0" w:rsidRDefault="00EE10C0" w:rsidP="00DF6D48">
      <w:pPr>
        <w:pStyle w:val="AD"/>
        <w:spacing w:line="276" w:lineRule="auto"/>
      </w:pPr>
    </w:p>
    <w:p w14:paraId="505F59F2" w14:textId="77777777" w:rsidR="00EE10C0" w:rsidRDefault="00EE10C0" w:rsidP="00DF6D48">
      <w:pPr>
        <w:pStyle w:val="AD"/>
        <w:spacing w:line="276" w:lineRule="auto"/>
      </w:pPr>
      <w:r>
        <w:rPr>
          <w:rFonts w:hint="eastAsia"/>
        </w:rPr>
        <w:t>（二）每只现金管理类产品持有不低于该产品资产净值</w:t>
      </w:r>
      <w:r>
        <w:rPr>
          <w:rFonts w:hint="eastAsia"/>
        </w:rPr>
        <w:t>10%</w:t>
      </w:r>
      <w:r>
        <w:rPr>
          <w:rFonts w:hint="eastAsia"/>
        </w:rPr>
        <w:t>的现金、国债、中央银行票据、政策性金融债券以及五个交易日内到期的其他金融工具；</w:t>
      </w:r>
    </w:p>
    <w:p w14:paraId="750A8C27" w14:textId="77777777" w:rsidR="00EE10C0" w:rsidRDefault="00EE10C0" w:rsidP="00DF6D48">
      <w:pPr>
        <w:pStyle w:val="AD"/>
        <w:spacing w:line="276" w:lineRule="auto"/>
      </w:pPr>
    </w:p>
    <w:p w14:paraId="30AF9BF2" w14:textId="77777777" w:rsidR="00EE10C0" w:rsidRDefault="00EE10C0" w:rsidP="00DF6D48">
      <w:pPr>
        <w:pStyle w:val="AD"/>
        <w:spacing w:line="276" w:lineRule="auto"/>
      </w:pPr>
      <w:r>
        <w:rPr>
          <w:rFonts w:hint="eastAsia"/>
        </w:rPr>
        <w:t>（三）每只现金管理类产品投资到期日在</w:t>
      </w:r>
      <w:r>
        <w:rPr>
          <w:rFonts w:hint="eastAsia"/>
        </w:rPr>
        <w:t>10</w:t>
      </w:r>
      <w:r>
        <w:rPr>
          <w:rFonts w:hint="eastAsia"/>
        </w:rPr>
        <w:t>个交易日以上的债券买入返售、银行定期存款（</w:t>
      </w:r>
      <w:proofErr w:type="gramStart"/>
      <w:r>
        <w:rPr>
          <w:rFonts w:hint="eastAsia"/>
        </w:rPr>
        <w:t>含协议</w:t>
      </w:r>
      <w:proofErr w:type="gramEnd"/>
      <w:r>
        <w:rPr>
          <w:rFonts w:hint="eastAsia"/>
        </w:rPr>
        <w:t>约定有条件提前支取的银行存款），以及资产支持证券、因发行人债务违约无法进行转让或者交易的债券等由于法律法规、合同或者操作障碍等原因无法以合理价格予以变现的流动性受限资产，合计不得超过该产品资产净值的</w:t>
      </w:r>
      <w:r>
        <w:rPr>
          <w:rFonts w:hint="eastAsia"/>
        </w:rPr>
        <w:t>10%</w:t>
      </w:r>
      <w:r>
        <w:rPr>
          <w:rFonts w:hint="eastAsia"/>
        </w:rPr>
        <w:t>；</w:t>
      </w:r>
    </w:p>
    <w:p w14:paraId="5BFE5C6B" w14:textId="77777777" w:rsidR="00EE10C0" w:rsidRDefault="00EE10C0" w:rsidP="00DF6D48">
      <w:pPr>
        <w:pStyle w:val="AD"/>
        <w:spacing w:line="276" w:lineRule="auto"/>
      </w:pPr>
    </w:p>
    <w:p w14:paraId="482C55FA" w14:textId="77777777" w:rsidR="00EE10C0" w:rsidRDefault="00EE10C0" w:rsidP="00DF6D48">
      <w:pPr>
        <w:pStyle w:val="AD"/>
        <w:spacing w:line="276" w:lineRule="auto"/>
      </w:pPr>
      <w:r>
        <w:rPr>
          <w:rFonts w:hint="eastAsia"/>
        </w:rPr>
        <w:t>（四）每只现金管理类产品的杠杆水平不得超过</w:t>
      </w:r>
      <w:r>
        <w:rPr>
          <w:rFonts w:hint="eastAsia"/>
        </w:rPr>
        <w:t>120%</w:t>
      </w:r>
      <w:r>
        <w:rPr>
          <w:rFonts w:hint="eastAsia"/>
        </w:rPr>
        <w:t>，发生巨额赎回、连续</w:t>
      </w:r>
      <w:r>
        <w:rPr>
          <w:rFonts w:hint="eastAsia"/>
        </w:rPr>
        <w:t>3</w:t>
      </w:r>
      <w:r>
        <w:rPr>
          <w:rFonts w:hint="eastAsia"/>
        </w:rPr>
        <w:t>个交易日累计赎回</w:t>
      </w:r>
      <w:r>
        <w:rPr>
          <w:rFonts w:hint="eastAsia"/>
        </w:rPr>
        <w:t>20%</w:t>
      </w:r>
      <w:r>
        <w:rPr>
          <w:rFonts w:hint="eastAsia"/>
        </w:rPr>
        <w:t>以上或者连续</w:t>
      </w:r>
      <w:r>
        <w:rPr>
          <w:rFonts w:hint="eastAsia"/>
        </w:rPr>
        <w:t>5</w:t>
      </w:r>
      <w:r>
        <w:rPr>
          <w:rFonts w:hint="eastAsia"/>
        </w:rPr>
        <w:t>个交易日累计赎回</w:t>
      </w:r>
      <w:r>
        <w:rPr>
          <w:rFonts w:hint="eastAsia"/>
        </w:rPr>
        <w:t>30%</w:t>
      </w:r>
      <w:r>
        <w:rPr>
          <w:rFonts w:hint="eastAsia"/>
        </w:rPr>
        <w:t>以上的情形除外。</w:t>
      </w:r>
    </w:p>
    <w:p w14:paraId="67EB413E" w14:textId="77777777" w:rsidR="00EE10C0" w:rsidRDefault="00EE10C0" w:rsidP="00DF6D48">
      <w:pPr>
        <w:pStyle w:val="AD"/>
        <w:spacing w:line="276" w:lineRule="auto"/>
      </w:pPr>
    </w:p>
    <w:p w14:paraId="4732D72B" w14:textId="77777777" w:rsidR="00EE10C0" w:rsidRDefault="00EE10C0" w:rsidP="00DF6D48">
      <w:pPr>
        <w:pStyle w:val="AD"/>
        <w:spacing w:line="276" w:lineRule="auto"/>
      </w:pPr>
      <w:r>
        <w:rPr>
          <w:rFonts w:hint="eastAsia"/>
        </w:rPr>
        <w:t>非主观因素导致突破前款第（二）（四）项比例限制的，商业银行、理财公司应当在</w:t>
      </w:r>
      <w:r>
        <w:rPr>
          <w:rFonts w:hint="eastAsia"/>
        </w:rPr>
        <w:t>10</w:t>
      </w:r>
      <w:r>
        <w:rPr>
          <w:rFonts w:hint="eastAsia"/>
        </w:rPr>
        <w:t>个交易日内调整至符合要求；非主观因素导致突破前款第（三）项比例限制的，商业银行、理财公司不得主动新增流动性受限资产的投资。</w:t>
      </w:r>
    </w:p>
    <w:p w14:paraId="047558D4" w14:textId="77777777" w:rsidR="00EE10C0" w:rsidRDefault="00EE10C0" w:rsidP="00DF6D48">
      <w:pPr>
        <w:pStyle w:val="AD"/>
        <w:spacing w:line="276" w:lineRule="auto"/>
      </w:pPr>
    </w:p>
    <w:p w14:paraId="24DD6614" w14:textId="77777777" w:rsidR="00EE10C0" w:rsidRDefault="00EE10C0" w:rsidP="00DF6D48">
      <w:pPr>
        <w:pStyle w:val="AD"/>
        <w:spacing w:line="276" w:lineRule="auto"/>
      </w:pPr>
      <w:r>
        <w:rPr>
          <w:rFonts w:hint="eastAsia"/>
        </w:rPr>
        <w:t>五、商业银行、理财公司每只现金管理类产品投资组合的平均剩余期限不得超过</w:t>
      </w:r>
      <w:r>
        <w:rPr>
          <w:rFonts w:hint="eastAsia"/>
        </w:rPr>
        <w:t>120</w:t>
      </w:r>
      <w:r>
        <w:rPr>
          <w:rFonts w:hint="eastAsia"/>
        </w:rPr>
        <w:t>天，平均剩余存续期限不得超过</w:t>
      </w:r>
      <w:r>
        <w:rPr>
          <w:rFonts w:hint="eastAsia"/>
        </w:rPr>
        <w:t>240</w:t>
      </w:r>
      <w:r>
        <w:rPr>
          <w:rFonts w:hint="eastAsia"/>
        </w:rPr>
        <w:t>天。</w:t>
      </w:r>
    </w:p>
    <w:p w14:paraId="5CA1D56C" w14:textId="77777777" w:rsidR="00EE10C0" w:rsidRDefault="00EE10C0" w:rsidP="00DF6D48">
      <w:pPr>
        <w:pStyle w:val="AD"/>
        <w:spacing w:line="276" w:lineRule="auto"/>
      </w:pPr>
    </w:p>
    <w:p w14:paraId="47856700" w14:textId="77777777" w:rsidR="00EE10C0" w:rsidRDefault="00EE10C0" w:rsidP="00DF6D48">
      <w:pPr>
        <w:pStyle w:val="AD"/>
        <w:spacing w:line="276" w:lineRule="auto"/>
      </w:pPr>
      <w:r>
        <w:rPr>
          <w:rFonts w:hint="eastAsia"/>
        </w:rPr>
        <w:t>本通知所称现金管理类产品投资组合平均剩余期限的计算公式为：</w:t>
      </w:r>
    </w:p>
    <w:p w14:paraId="63CD51E0" w14:textId="77777777" w:rsidR="00EE10C0" w:rsidRDefault="00EE10C0" w:rsidP="00DF6D48">
      <w:pPr>
        <w:pStyle w:val="AD"/>
        <w:spacing w:line="276" w:lineRule="auto"/>
      </w:pPr>
    </w:p>
    <w:p w14:paraId="56CAE746" w14:textId="77777777" w:rsidR="00EE10C0" w:rsidRDefault="00EE10C0" w:rsidP="00DF6D48">
      <w:pPr>
        <w:pStyle w:val="AD"/>
        <w:spacing w:line="276" w:lineRule="auto"/>
      </w:pPr>
    </w:p>
    <w:p w14:paraId="41174DA8" w14:textId="77777777" w:rsidR="00EE10C0" w:rsidRDefault="00EE10C0" w:rsidP="00DF6D48">
      <w:pPr>
        <w:pStyle w:val="AD"/>
        <w:spacing w:line="276" w:lineRule="auto"/>
      </w:pPr>
    </w:p>
    <w:p w14:paraId="360B0F15" w14:textId="77777777" w:rsidR="00EE10C0" w:rsidRDefault="00EE10C0" w:rsidP="00DF6D48">
      <w:pPr>
        <w:pStyle w:val="AD"/>
        <w:spacing w:line="276" w:lineRule="auto"/>
      </w:pPr>
      <w:r>
        <w:rPr>
          <w:rFonts w:hint="eastAsia"/>
        </w:rPr>
        <w:t>现金管理类产品投资组合平均剩余存续期限的计算公式为：</w:t>
      </w:r>
    </w:p>
    <w:p w14:paraId="614E656E" w14:textId="77777777" w:rsidR="00EE10C0" w:rsidRDefault="00EE10C0" w:rsidP="00DF6D48">
      <w:pPr>
        <w:pStyle w:val="AD"/>
        <w:spacing w:line="276" w:lineRule="auto"/>
      </w:pPr>
    </w:p>
    <w:p w14:paraId="17960DC5" w14:textId="77777777" w:rsidR="00EE10C0" w:rsidRDefault="00EE10C0" w:rsidP="00DF6D48">
      <w:pPr>
        <w:pStyle w:val="AD"/>
        <w:spacing w:line="276" w:lineRule="auto"/>
      </w:pPr>
    </w:p>
    <w:p w14:paraId="729B0C1D" w14:textId="77777777" w:rsidR="00EE10C0" w:rsidRDefault="00EE10C0" w:rsidP="00DF6D48">
      <w:pPr>
        <w:pStyle w:val="AD"/>
        <w:spacing w:line="276" w:lineRule="auto"/>
      </w:pPr>
    </w:p>
    <w:p w14:paraId="412CB4AA" w14:textId="77777777" w:rsidR="00EE10C0" w:rsidRDefault="00EE10C0" w:rsidP="00DF6D48">
      <w:pPr>
        <w:pStyle w:val="AD"/>
        <w:spacing w:line="276" w:lineRule="auto"/>
      </w:pPr>
      <w:r>
        <w:rPr>
          <w:rFonts w:hint="eastAsia"/>
        </w:rPr>
        <w:t>投资组合中债券的剩余期限和剩余存续期限是指计算日至债券到期日为止所剩余的天数，以下情况除外：</w:t>
      </w:r>
    </w:p>
    <w:p w14:paraId="6B1BA89C" w14:textId="77777777" w:rsidR="00EE10C0" w:rsidRDefault="00EE10C0" w:rsidP="00DF6D48">
      <w:pPr>
        <w:pStyle w:val="AD"/>
        <w:spacing w:line="276" w:lineRule="auto"/>
      </w:pPr>
    </w:p>
    <w:p w14:paraId="1F20541F" w14:textId="77777777" w:rsidR="00EE10C0" w:rsidRDefault="00EE10C0" w:rsidP="00DF6D48">
      <w:pPr>
        <w:pStyle w:val="AD"/>
        <w:spacing w:line="276" w:lineRule="auto"/>
      </w:pPr>
      <w:r>
        <w:rPr>
          <w:rFonts w:hint="eastAsia"/>
        </w:rPr>
        <w:t>允许投资的可变利率或者浮动利率债券的剩余期限以计算日至下一个利率调整日的实际剩余天数计算。</w:t>
      </w:r>
    </w:p>
    <w:p w14:paraId="3647EF05" w14:textId="77777777" w:rsidR="00EE10C0" w:rsidRDefault="00EE10C0" w:rsidP="00DF6D48">
      <w:pPr>
        <w:pStyle w:val="AD"/>
        <w:spacing w:line="276" w:lineRule="auto"/>
      </w:pPr>
    </w:p>
    <w:p w14:paraId="00A970C8" w14:textId="77777777" w:rsidR="00EE10C0" w:rsidRDefault="00EE10C0" w:rsidP="00DF6D48">
      <w:pPr>
        <w:pStyle w:val="AD"/>
        <w:spacing w:line="276" w:lineRule="auto"/>
      </w:pPr>
      <w:r>
        <w:rPr>
          <w:rFonts w:hint="eastAsia"/>
        </w:rPr>
        <w:t>允许投资的可变利率或者浮动利率债券的剩余存续期限以计算日至债券到期日的实际剩余天数计算。</w:t>
      </w:r>
    </w:p>
    <w:p w14:paraId="7F585396" w14:textId="77777777" w:rsidR="00EE10C0" w:rsidRDefault="00EE10C0" w:rsidP="00DF6D48">
      <w:pPr>
        <w:pStyle w:val="AD"/>
        <w:spacing w:line="276" w:lineRule="auto"/>
      </w:pPr>
    </w:p>
    <w:p w14:paraId="7A8BA4C4" w14:textId="77777777" w:rsidR="00EE10C0" w:rsidRDefault="00EE10C0" w:rsidP="00DF6D48">
      <w:pPr>
        <w:pStyle w:val="AD"/>
        <w:spacing w:line="276" w:lineRule="auto"/>
      </w:pPr>
      <w:r>
        <w:rPr>
          <w:rFonts w:hint="eastAsia"/>
        </w:rPr>
        <w:t>六、商业银行、理财公司应当按照《企业会计准则》和《关于规范金融机构资产管理业务的指导意见》关于金融资产估值核算的相关规定，确认和计量现金管理类产品的净值。在确保现金</w:t>
      </w:r>
      <w:r>
        <w:rPr>
          <w:rFonts w:hint="eastAsia"/>
        </w:rPr>
        <w:lastRenderedPageBreak/>
        <w:t>管理类产品资产净值能够公允地反映投资组合价值的前提下，可采用摊</w:t>
      </w:r>
      <w:proofErr w:type="gramStart"/>
      <w:r>
        <w:rPr>
          <w:rFonts w:hint="eastAsia"/>
        </w:rPr>
        <w:t>余成本</w:t>
      </w:r>
      <w:proofErr w:type="gramEnd"/>
      <w:r>
        <w:rPr>
          <w:rFonts w:hint="eastAsia"/>
        </w:rPr>
        <w:t>法对持有的投资组合进行会计核算，但应当在销售文件中披露该核算方法及其可能对产品净值波动带来的影响；估值核算方法在特殊情形下不能公允反映现金管理类产品价值的，可以采用其他估值方法，该特殊情形及采用的估值方法应当在销售文件中约定。</w:t>
      </w:r>
    </w:p>
    <w:p w14:paraId="5A3CE192" w14:textId="77777777" w:rsidR="00EE10C0" w:rsidRDefault="00EE10C0" w:rsidP="00DF6D48">
      <w:pPr>
        <w:pStyle w:val="AD"/>
        <w:spacing w:line="276" w:lineRule="auto"/>
      </w:pPr>
    </w:p>
    <w:p w14:paraId="6CA68D4E" w14:textId="77777777" w:rsidR="00EE10C0" w:rsidRDefault="00EE10C0" w:rsidP="00DF6D48">
      <w:pPr>
        <w:pStyle w:val="AD"/>
        <w:spacing w:line="276" w:lineRule="auto"/>
      </w:pPr>
      <w:r>
        <w:rPr>
          <w:rFonts w:hint="eastAsia"/>
        </w:rPr>
        <w:t>现金管理类产品采用摊</w:t>
      </w:r>
      <w:proofErr w:type="gramStart"/>
      <w:r>
        <w:rPr>
          <w:rFonts w:hint="eastAsia"/>
        </w:rPr>
        <w:t>余成本</w:t>
      </w:r>
      <w:proofErr w:type="gramEnd"/>
      <w:r>
        <w:rPr>
          <w:rFonts w:hint="eastAsia"/>
        </w:rPr>
        <w:t>法进行核算的，应当采用影子定价的风险控制手段，</w:t>
      </w:r>
      <w:proofErr w:type="gramStart"/>
      <w:r>
        <w:rPr>
          <w:rFonts w:hint="eastAsia"/>
        </w:rPr>
        <w:t>对摊余成本</w:t>
      </w:r>
      <w:proofErr w:type="gramEnd"/>
      <w:r>
        <w:rPr>
          <w:rFonts w:hint="eastAsia"/>
        </w:rPr>
        <w:t>法计算的资产净值的公允性进行评估。</w:t>
      </w:r>
    </w:p>
    <w:p w14:paraId="4C87DF6C" w14:textId="77777777" w:rsidR="00EE10C0" w:rsidRDefault="00EE10C0" w:rsidP="00DF6D48">
      <w:pPr>
        <w:pStyle w:val="AD"/>
        <w:spacing w:line="276" w:lineRule="auto"/>
      </w:pPr>
    </w:p>
    <w:p w14:paraId="13931644" w14:textId="77777777" w:rsidR="00EE10C0" w:rsidRDefault="00EE10C0" w:rsidP="00DF6D48">
      <w:pPr>
        <w:pStyle w:val="AD"/>
        <w:spacing w:line="276" w:lineRule="auto"/>
      </w:pPr>
      <w:r>
        <w:rPr>
          <w:rFonts w:hint="eastAsia"/>
        </w:rPr>
        <w:t>当影子定价确定的现金管理类产品资产净值与摊</w:t>
      </w:r>
      <w:proofErr w:type="gramStart"/>
      <w:r>
        <w:rPr>
          <w:rFonts w:hint="eastAsia"/>
        </w:rPr>
        <w:t>余成本</w:t>
      </w:r>
      <w:proofErr w:type="gramEnd"/>
      <w:r>
        <w:rPr>
          <w:rFonts w:hint="eastAsia"/>
        </w:rPr>
        <w:t>法计算的资产净值正偏离度绝对值达到</w:t>
      </w:r>
      <w:r>
        <w:rPr>
          <w:rFonts w:hint="eastAsia"/>
        </w:rPr>
        <w:t>0.5%</w:t>
      </w:r>
      <w:r>
        <w:rPr>
          <w:rFonts w:hint="eastAsia"/>
        </w:rPr>
        <w:t>时，商业银行、理财公司应当暂停接受认购并在</w:t>
      </w:r>
      <w:r>
        <w:rPr>
          <w:rFonts w:hint="eastAsia"/>
        </w:rPr>
        <w:t>5</w:t>
      </w:r>
      <w:r>
        <w:rPr>
          <w:rFonts w:hint="eastAsia"/>
        </w:rPr>
        <w:t>个交易日内将正偏离度绝对值调整到</w:t>
      </w:r>
      <w:r>
        <w:rPr>
          <w:rFonts w:hint="eastAsia"/>
        </w:rPr>
        <w:t>0.5%</w:t>
      </w:r>
      <w:r>
        <w:rPr>
          <w:rFonts w:hint="eastAsia"/>
        </w:rPr>
        <w:t>以内。当负偏离度绝对值达到</w:t>
      </w:r>
      <w:r>
        <w:rPr>
          <w:rFonts w:hint="eastAsia"/>
        </w:rPr>
        <w:t>0.25%</w:t>
      </w:r>
      <w:r>
        <w:rPr>
          <w:rFonts w:hint="eastAsia"/>
        </w:rPr>
        <w:t>时，商业银行、理财公司应当在</w:t>
      </w:r>
      <w:r>
        <w:rPr>
          <w:rFonts w:hint="eastAsia"/>
        </w:rPr>
        <w:t>5</w:t>
      </w:r>
      <w:r>
        <w:rPr>
          <w:rFonts w:hint="eastAsia"/>
        </w:rPr>
        <w:t>个交易日内将负偏离度绝对值调整到</w:t>
      </w:r>
      <w:r>
        <w:rPr>
          <w:rFonts w:hint="eastAsia"/>
        </w:rPr>
        <w:t>0.25%</w:t>
      </w:r>
      <w:r>
        <w:rPr>
          <w:rFonts w:hint="eastAsia"/>
        </w:rPr>
        <w:t>以内。当负偏离度绝对值达到</w:t>
      </w:r>
      <w:r>
        <w:rPr>
          <w:rFonts w:hint="eastAsia"/>
        </w:rPr>
        <w:t>0.5%</w:t>
      </w:r>
      <w:r>
        <w:rPr>
          <w:rFonts w:hint="eastAsia"/>
        </w:rPr>
        <w:t>时，商业银行、理财公司应当采取相应措施，将负偏离度绝对值控制在</w:t>
      </w:r>
      <w:r>
        <w:rPr>
          <w:rFonts w:hint="eastAsia"/>
        </w:rPr>
        <w:t>0.5%</w:t>
      </w:r>
      <w:r>
        <w:rPr>
          <w:rFonts w:hint="eastAsia"/>
        </w:rPr>
        <w:t>以内。当负偏离度绝对值连续两个交易日超过</w:t>
      </w:r>
      <w:r>
        <w:rPr>
          <w:rFonts w:hint="eastAsia"/>
        </w:rPr>
        <w:t>0.5%</w:t>
      </w:r>
      <w:r>
        <w:rPr>
          <w:rFonts w:hint="eastAsia"/>
        </w:rPr>
        <w:t>时，商业银行、理财公司应当采用公允价值估值方法对持有投资组合的账面价值进行调整，或者采取暂停接受所有赎回申请并终止产品合同进行财产清算等措施。</w:t>
      </w:r>
    </w:p>
    <w:p w14:paraId="0CC9F4FD" w14:textId="77777777" w:rsidR="00EE10C0" w:rsidRDefault="00EE10C0" w:rsidP="00DF6D48">
      <w:pPr>
        <w:pStyle w:val="AD"/>
        <w:spacing w:line="276" w:lineRule="auto"/>
      </w:pPr>
    </w:p>
    <w:p w14:paraId="3AC84FEC" w14:textId="77777777" w:rsidR="00EE10C0" w:rsidRDefault="00EE10C0" w:rsidP="00DF6D48">
      <w:pPr>
        <w:pStyle w:val="AD"/>
        <w:spacing w:line="276" w:lineRule="auto"/>
      </w:pPr>
      <w:r>
        <w:rPr>
          <w:rFonts w:hint="eastAsia"/>
        </w:rPr>
        <w:t>前款所述情形及其处理方法应当事先在销售文件中约定并进行信息披露。影子定价与摊</w:t>
      </w:r>
      <w:proofErr w:type="gramStart"/>
      <w:r>
        <w:rPr>
          <w:rFonts w:hint="eastAsia"/>
        </w:rPr>
        <w:t>余成本</w:t>
      </w:r>
      <w:proofErr w:type="gramEnd"/>
      <w:r>
        <w:rPr>
          <w:rFonts w:hint="eastAsia"/>
        </w:rPr>
        <w:t>法确定的现金管理类产品资产净值的偏离度＝。其中，</w:t>
      </w:r>
      <w:r>
        <w:rPr>
          <w:rFonts w:hint="eastAsia"/>
        </w:rPr>
        <w:t>NAVs</w:t>
      </w:r>
      <w:r>
        <w:rPr>
          <w:rFonts w:hint="eastAsia"/>
        </w:rPr>
        <w:t>为影子定价确定的现金管理类产品资产净值，</w:t>
      </w:r>
      <w:proofErr w:type="spellStart"/>
      <w:r>
        <w:rPr>
          <w:rFonts w:hint="eastAsia"/>
        </w:rPr>
        <w:t>NAVa</w:t>
      </w:r>
      <w:proofErr w:type="spellEnd"/>
      <w:r>
        <w:rPr>
          <w:rFonts w:hint="eastAsia"/>
        </w:rPr>
        <w:t>为摊</w:t>
      </w:r>
      <w:proofErr w:type="gramStart"/>
      <w:r>
        <w:rPr>
          <w:rFonts w:hint="eastAsia"/>
        </w:rPr>
        <w:t>余成本</w:t>
      </w:r>
      <w:proofErr w:type="gramEnd"/>
      <w:r>
        <w:rPr>
          <w:rFonts w:hint="eastAsia"/>
        </w:rPr>
        <w:t>法确定的现金管理类产品资产净值。</w:t>
      </w:r>
    </w:p>
    <w:p w14:paraId="31AEEB8C" w14:textId="77777777" w:rsidR="00EE10C0" w:rsidRDefault="00EE10C0" w:rsidP="00DF6D48">
      <w:pPr>
        <w:pStyle w:val="AD"/>
        <w:spacing w:line="276" w:lineRule="auto"/>
      </w:pPr>
    </w:p>
    <w:p w14:paraId="1E8F3965" w14:textId="77777777" w:rsidR="00EE10C0" w:rsidRDefault="00EE10C0" w:rsidP="00DF6D48">
      <w:pPr>
        <w:pStyle w:val="AD"/>
        <w:spacing w:line="276" w:lineRule="auto"/>
      </w:pPr>
      <w:r>
        <w:rPr>
          <w:rFonts w:hint="eastAsia"/>
        </w:rPr>
        <w:t>七、为保护投资者的合法权益，商业银行、理财公司可以依照相关法律法规以及销售文件的约定，在特定市场条件下暂停或者拒绝接受一定金额以上的资金认购。</w:t>
      </w:r>
    </w:p>
    <w:p w14:paraId="7799A1DE" w14:textId="77777777" w:rsidR="00EE10C0" w:rsidRDefault="00EE10C0" w:rsidP="00DF6D48">
      <w:pPr>
        <w:pStyle w:val="AD"/>
        <w:spacing w:line="276" w:lineRule="auto"/>
      </w:pPr>
    </w:p>
    <w:p w14:paraId="5BE3BB1B" w14:textId="77777777" w:rsidR="00EE10C0" w:rsidRDefault="00EE10C0" w:rsidP="00DF6D48">
      <w:pPr>
        <w:pStyle w:val="AD"/>
        <w:spacing w:line="276" w:lineRule="auto"/>
      </w:pPr>
      <w:r>
        <w:rPr>
          <w:rFonts w:hint="eastAsia"/>
        </w:rPr>
        <w:t>当日认购的现金管理类产品份额应当自下一个交易日起享有该产品的分配权益；当日赎回的现金管理类产品份额自下一个交易日起不享有该产品的分配权益，银保监会认定的特殊现金管理类产品品种除外。</w:t>
      </w:r>
    </w:p>
    <w:p w14:paraId="4A8DE595" w14:textId="77777777" w:rsidR="00EE10C0" w:rsidRDefault="00EE10C0" w:rsidP="00DF6D48">
      <w:pPr>
        <w:pStyle w:val="AD"/>
        <w:spacing w:line="276" w:lineRule="auto"/>
      </w:pPr>
    </w:p>
    <w:p w14:paraId="40AD58C0" w14:textId="77777777" w:rsidR="00EE10C0" w:rsidRDefault="00EE10C0" w:rsidP="00DF6D48">
      <w:pPr>
        <w:pStyle w:val="AD"/>
        <w:spacing w:line="276" w:lineRule="auto"/>
      </w:pPr>
      <w:r>
        <w:rPr>
          <w:rFonts w:hint="eastAsia"/>
        </w:rPr>
        <w:t>商业银行、理财公司应当建立健全内部流动性风险控制制度，细化流动性风险管理措施。在满足相关流动性风险管理要求的前提下，当现金管理类产品持有的现金、国债、中央银行票据、政策性金融债券以及</w:t>
      </w:r>
      <w:r>
        <w:rPr>
          <w:rFonts w:hint="eastAsia"/>
        </w:rPr>
        <w:t>5</w:t>
      </w:r>
      <w:r>
        <w:rPr>
          <w:rFonts w:hint="eastAsia"/>
        </w:rPr>
        <w:t>个交易日内到期的其他金融工具占产品资产净值的比例合计低于</w:t>
      </w:r>
      <w:r>
        <w:rPr>
          <w:rFonts w:hint="eastAsia"/>
        </w:rPr>
        <w:t>5%</w:t>
      </w:r>
      <w:r>
        <w:rPr>
          <w:rFonts w:hint="eastAsia"/>
        </w:rPr>
        <w:t>且偏离度为负时，商业银行、理财公司应当对当日单个产品投资者申请赎回份额超过现金管理类产品总份额</w:t>
      </w:r>
      <w:r>
        <w:rPr>
          <w:rFonts w:hint="eastAsia"/>
        </w:rPr>
        <w:t>1%</w:t>
      </w:r>
      <w:r>
        <w:rPr>
          <w:rFonts w:hint="eastAsia"/>
        </w:rPr>
        <w:t>以上的赎回申请征收</w:t>
      </w:r>
      <w:r>
        <w:rPr>
          <w:rFonts w:hint="eastAsia"/>
        </w:rPr>
        <w:t>1%</w:t>
      </w:r>
      <w:r>
        <w:rPr>
          <w:rFonts w:hint="eastAsia"/>
        </w:rPr>
        <w:t>的强制赎回费用，并将上述赎回费用全额计入该现金管理类产品财产。商业银行、理财公司与托管机构协商确认上述做法无益于现金管理类产品利益最大化的情形除外。上述情形及处理方法应当事先在销售文件中约定。</w:t>
      </w:r>
    </w:p>
    <w:p w14:paraId="55328C80" w14:textId="77777777" w:rsidR="00EE10C0" w:rsidRDefault="00EE10C0" w:rsidP="00DF6D48">
      <w:pPr>
        <w:pStyle w:val="AD"/>
        <w:spacing w:line="276" w:lineRule="auto"/>
      </w:pPr>
    </w:p>
    <w:p w14:paraId="0F44E0AC" w14:textId="77777777" w:rsidR="00EE10C0" w:rsidRDefault="00EE10C0" w:rsidP="00DF6D48">
      <w:pPr>
        <w:pStyle w:val="AD"/>
        <w:spacing w:line="276" w:lineRule="auto"/>
      </w:pPr>
      <w:r>
        <w:rPr>
          <w:rFonts w:hint="eastAsia"/>
        </w:rPr>
        <w:t>为公平对待不同类别产品投资者的合法权益，商业银行、理财公司应当在现金管理类产品的销售文件中约定，单个产品投资者在单个开放日申请赎回份额超过该产品总份额</w:t>
      </w:r>
      <w:r>
        <w:rPr>
          <w:rFonts w:hint="eastAsia"/>
        </w:rPr>
        <w:t>10%</w:t>
      </w:r>
      <w:r>
        <w:rPr>
          <w:rFonts w:hint="eastAsia"/>
        </w:rPr>
        <w:t>的，商业银行、理财公司可以采取延期办理部分赎回申请或者延缓支付赎回款项的措施。</w:t>
      </w:r>
    </w:p>
    <w:p w14:paraId="606BD59D" w14:textId="77777777" w:rsidR="00EE10C0" w:rsidRDefault="00EE10C0" w:rsidP="00DF6D48">
      <w:pPr>
        <w:pStyle w:val="AD"/>
        <w:spacing w:line="276" w:lineRule="auto"/>
      </w:pPr>
    </w:p>
    <w:p w14:paraId="23EECB8B" w14:textId="77777777" w:rsidR="00EE10C0" w:rsidRDefault="00EE10C0" w:rsidP="00DF6D48">
      <w:pPr>
        <w:pStyle w:val="AD"/>
        <w:spacing w:line="276" w:lineRule="auto"/>
      </w:pPr>
      <w:r>
        <w:rPr>
          <w:rFonts w:hint="eastAsia"/>
        </w:rPr>
        <w:lastRenderedPageBreak/>
        <w:t>八、商业银行、理财公司现金管理类产品允许单一投资者持有份额超过该产品总份额</w:t>
      </w:r>
      <w:r>
        <w:rPr>
          <w:rFonts w:hint="eastAsia"/>
        </w:rPr>
        <w:t>50%</w:t>
      </w:r>
      <w:r>
        <w:rPr>
          <w:rFonts w:hint="eastAsia"/>
        </w:rPr>
        <w:t>的，应当符合以下要求：</w:t>
      </w:r>
    </w:p>
    <w:p w14:paraId="1B034F5E" w14:textId="77777777" w:rsidR="00EE10C0" w:rsidRDefault="00EE10C0" w:rsidP="00DF6D48">
      <w:pPr>
        <w:pStyle w:val="AD"/>
        <w:spacing w:line="276" w:lineRule="auto"/>
      </w:pPr>
    </w:p>
    <w:p w14:paraId="690881A4" w14:textId="77777777" w:rsidR="00EE10C0" w:rsidRDefault="00EE10C0" w:rsidP="00DF6D48">
      <w:pPr>
        <w:pStyle w:val="AD"/>
        <w:spacing w:line="276" w:lineRule="auto"/>
      </w:pPr>
      <w:r>
        <w:rPr>
          <w:rFonts w:hint="eastAsia"/>
        </w:rPr>
        <w:t>（一）在销售文件中进行充分披露及标识；</w:t>
      </w:r>
    </w:p>
    <w:p w14:paraId="06626F23" w14:textId="77777777" w:rsidR="00EE10C0" w:rsidRDefault="00EE10C0" w:rsidP="00DF6D48">
      <w:pPr>
        <w:pStyle w:val="AD"/>
        <w:spacing w:line="276" w:lineRule="auto"/>
      </w:pPr>
    </w:p>
    <w:p w14:paraId="094E3D2D" w14:textId="77777777" w:rsidR="00EE10C0" w:rsidRDefault="00EE10C0" w:rsidP="00DF6D48">
      <w:pPr>
        <w:pStyle w:val="AD"/>
        <w:spacing w:line="276" w:lineRule="auto"/>
      </w:pPr>
      <w:r>
        <w:rPr>
          <w:rFonts w:hint="eastAsia"/>
        </w:rPr>
        <w:t>（二）不得向个人投资者公开发售；</w:t>
      </w:r>
    </w:p>
    <w:p w14:paraId="198DA850" w14:textId="77777777" w:rsidR="00EE10C0" w:rsidRDefault="00EE10C0" w:rsidP="00DF6D48">
      <w:pPr>
        <w:pStyle w:val="AD"/>
        <w:spacing w:line="276" w:lineRule="auto"/>
      </w:pPr>
    </w:p>
    <w:p w14:paraId="6A7ECB0B" w14:textId="77777777" w:rsidR="00EE10C0" w:rsidRDefault="00EE10C0" w:rsidP="00DF6D48">
      <w:pPr>
        <w:pStyle w:val="AD"/>
        <w:spacing w:line="276" w:lineRule="auto"/>
      </w:pPr>
      <w:r>
        <w:rPr>
          <w:rFonts w:hint="eastAsia"/>
        </w:rPr>
        <w:t>（三）不得采用摊</w:t>
      </w:r>
      <w:proofErr w:type="gramStart"/>
      <w:r>
        <w:rPr>
          <w:rFonts w:hint="eastAsia"/>
        </w:rPr>
        <w:t>余成本</w:t>
      </w:r>
      <w:proofErr w:type="gramEnd"/>
      <w:r>
        <w:rPr>
          <w:rFonts w:hint="eastAsia"/>
        </w:rPr>
        <w:t>法进行会计核算，或者</w:t>
      </w:r>
      <w:r>
        <w:rPr>
          <w:rFonts w:hint="eastAsia"/>
        </w:rPr>
        <w:t>80%</w:t>
      </w:r>
      <w:r>
        <w:rPr>
          <w:rFonts w:hint="eastAsia"/>
        </w:rPr>
        <w:t>以上的资产应当投资于现金、国债、中央银行票据、政策性金融债券以及</w:t>
      </w:r>
      <w:r>
        <w:rPr>
          <w:rFonts w:hint="eastAsia"/>
        </w:rPr>
        <w:t>5</w:t>
      </w:r>
      <w:r>
        <w:rPr>
          <w:rFonts w:hint="eastAsia"/>
        </w:rPr>
        <w:t>个交易日内到期的其他金融工具。</w:t>
      </w:r>
    </w:p>
    <w:p w14:paraId="1D4057DD" w14:textId="77777777" w:rsidR="00EE10C0" w:rsidRDefault="00EE10C0" w:rsidP="00DF6D48">
      <w:pPr>
        <w:pStyle w:val="AD"/>
        <w:spacing w:line="276" w:lineRule="auto"/>
      </w:pPr>
    </w:p>
    <w:p w14:paraId="48777E38" w14:textId="77777777" w:rsidR="00EE10C0" w:rsidRDefault="00EE10C0" w:rsidP="00DF6D48">
      <w:pPr>
        <w:pStyle w:val="AD"/>
        <w:spacing w:line="276" w:lineRule="auto"/>
      </w:pPr>
      <w:r>
        <w:rPr>
          <w:rFonts w:hint="eastAsia"/>
        </w:rPr>
        <w:t>商业银行、理财公司应当对现金管理类产品的投资者集中度实施严格的监控与管理，根据投资者集中度情况对投资组合实施调整，并遵守以下要求：</w:t>
      </w:r>
    </w:p>
    <w:p w14:paraId="2B320861" w14:textId="77777777" w:rsidR="00EE10C0" w:rsidRDefault="00EE10C0" w:rsidP="00DF6D48">
      <w:pPr>
        <w:pStyle w:val="AD"/>
        <w:spacing w:line="276" w:lineRule="auto"/>
      </w:pPr>
    </w:p>
    <w:p w14:paraId="39784981" w14:textId="77777777" w:rsidR="00EE10C0" w:rsidRDefault="00EE10C0" w:rsidP="00DF6D48">
      <w:pPr>
        <w:pStyle w:val="AD"/>
        <w:spacing w:line="276" w:lineRule="auto"/>
      </w:pPr>
      <w:r>
        <w:rPr>
          <w:rFonts w:hint="eastAsia"/>
        </w:rPr>
        <w:t>（一）当前</w:t>
      </w:r>
      <w:r>
        <w:rPr>
          <w:rFonts w:hint="eastAsia"/>
        </w:rPr>
        <w:t>10</w:t>
      </w:r>
      <w:r>
        <w:rPr>
          <w:rFonts w:hint="eastAsia"/>
        </w:rPr>
        <w:t>名投资者的持有份额合计超过现金管理类产品总份额的</w:t>
      </w:r>
      <w:r>
        <w:rPr>
          <w:rFonts w:hint="eastAsia"/>
        </w:rPr>
        <w:t>50%</w:t>
      </w:r>
      <w:r>
        <w:rPr>
          <w:rFonts w:hint="eastAsia"/>
        </w:rPr>
        <w:t>时，投资组合的平均剩余期限不得超过</w:t>
      </w:r>
      <w:r>
        <w:rPr>
          <w:rFonts w:hint="eastAsia"/>
        </w:rPr>
        <w:t>60</w:t>
      </w:r>
      <w:r>
        <w:rPr>
          <w:rFonts w:hint="eastAsia"/>
        </w:rPr>
        <w:t>天，平均剩余存续期限不得超过</w:t>
      </w:r>
      <w:r>
        <w:rPr>
          <w:rFonts w:hint="eastAsia"/>
        </w:rPr>
        <w:t>120</w:t>
      </w:r>
      <w:r>
        <w:rPr>
          <w:rFonts w:hint="eastAsia"/>
        </w:rPr>
        <w:t>天，投资组合中现金、国债、中央银行票据、政策性金融债券以及</w:t>
      </w:r>
      <w:r>
        <w:rPr>
          <w:rFonts w:hint="eastAsia"/>
        </w:rPr>
        <w:t>5</w:t>
      </w:r>
      <w:r>
        <w:rPr>
          <w:rFonts w:hint="eastAsia"/>
        </w:rPr>
        <w:t>个交易日内到期的其他金融工具占该产品资产净值的比例合计不得低于</w:t>
      </w:r>
      <w:r>
        <w:rPr>
          <w:rFonts w:hint="eastAsia"/>
        </w:rPr>
        <w:t>30%</w:t>
      </w:r>
      <w:r>
        <w:rPr>
          <w:rFonts w:hint="eastAsia"/>
        </w:rPr>
        <w:t>；</w:t>
      </w:r>
    </w:p>
    <w:p w14:paraId="56A8B2A7" w14:textId="77777777" w:rsidR="00EE10C0" w:rsidRDefault="00EE10C0" w:rsidP="00DF6D48">
      <w:pPr>
        <w:pStyle w:val="AD"/>
        <w:spacing w:line="276" w:lineRule="auto"/>
      </w:pPr>
    </w:p>
    <w:p w14:paraId="20DA93E0" w14:textId="77777777" w:rsidR="00EE10C0" w:rsidRDefault="00EE10C0" w:rsidP="00DF6D48">
      <w:pPr>
        <w:pStyle w:val="AD"/>
        <w:spacing w:line="276" w:lineRule="auto"/>
      </w:pPr>
      <w:r>
        <w:rPr>
          <w:rFonts w:hint="eastAsia"/>
        </w:rPr>
        <w:t>（二）当前</w:t>
      </w:r>
      <w:r>
        <w:rPr>
          <w:rFonts w:hint="eastAsia"/>
        </w:rPr>
        <w:t>10</w:t>
      </w:r>
      <w:r>
        <w:rPr>
          <w:rFonts w:hint="eastAsia"/>
        </w:rPr>
        <w:t>名投资者的持有份额合计超过现金管理类产品总份额的</w:t>
      </w:r>
      <w:r>
        <w:rPr>
          <w:rFonts w:hint="eastAsia"/>
        </w:rPr>
        <w:t>20%</w:t>
      </w:r>
      <w:r>
        <w:rPr>
          <w:rFonts w:hint="eastAsia"/>
        </w:rPr>
        <w:t>时，投资组合的平均剩余期限不得超过</w:t>
      </w:r>
      <w:r>
        <w:rPr>
          <w:rFonts w:hint="eastAsia"/>
        </w:rPr>
        <w:t>90</w:t>
      </w:r>
      <w:r>
        <w:rPr>
          <w:rFonts w:hint="eastAsia"/>
        </w:rPr>
        <w:t>天，平均剩余存续期限不得超过</w:t>
      </w:r>
      <w:r>
        <w:rPr>
          <w:rFonts w:hint="eastAsia"/>
        </w:rPr>
        <w:t>180</w:t>
      </w:r>
      <w:r>
        <w:rPr>
          <w:rFonts w:hint="eastAsia"/>
        </w:rPr>
        <w:t>天，投资组合中现金、国债、中央银行票据、政策性金融债券以及</w:t>
      </w:r>
      <w:r>
        <w:rPr>
          <w:rFonts w:hint="eastAsia"/>
        </w:rPr>
        <w:t>5</w:t>
      </w:r>
      <w:r>
        <w:rPr>
          <w:rFonts w:hint="eastAsia"/>
        </w:rPr>
        <w:t>个交易日内到期的其他金融工具占该产品资产净值的比例合计不得低于</w:t>
      </w:r>
      <w:r>
        <w:rPr>
          <w:rFonts w:hint="eastAsia"/>
        </w:rPr>
        <w:t>20%</w:t>
      </w:r>
      <w:r>
        <w:rPr>
          <w:rFonts w:hint="eastAsia"/>
        </w:rPr>
        <w:t>。</w:t>
      </w:r>
    </w:p>
    <w:p w14:paraId="7C67BEBB" w14:textId="77777777" w:rsidR="00EE10C0" w:rsidRDefault="00EE10C0" w:rsidP="00DF6D48">
      <w:pPr>
        <w:pStyle w:val="AD"/>
        <w:spacing w:line="276" w:lineRule="auto"/>
      </w:pPr>
    </w:p>
    <w:p w14:paraId="330CFB47" w14:textId="77777777" w:rsidR="00EE10C0" w:rsidRDefault="00EE10C0" w:rsidP="00DF6D48">
      <w:pPr>
        <w:pStyle w:val="AD"/>
        <w:spacing w:line="276" w:lineRule="auto"/>
      </w:pPr>
      <w:r>
        <w:rPr>
          <w:rFonts w:hint="eastAsia"/>
        </w:rPr>
        <w:t>商业银行、理财公司应当在每个交易日</w:t>
      </w:r>
      <w:r>
        <w:rPr>
          <w:rFonts w:hint="eastAsia"/>
        </w:rPr>
        <w:t>10:00</w:t>
      </w:r>
      <w:r>
        <w:rPr>
          <w:rFonts w:hint="eastAsia"/>
        </w:rPr>
        <w:t>前将现金管理类产品前一交易日前</w:t>
      </w:r>
      <w:r>
        <w:rPr>
          <w:rFonts w:hint="eastAsia"/>
        </w:rPr>
        <w:t>10</w:t>
      </w:r>
      <w:r>
        <w:rPr>
          <w:rFonts w:hint="eastAsia"/>
        </w:rPr>
        <w:t>名投资者合计持有比例等信息报送托管机构，托管机构依法履行投资监督职责。非因商业银行、理财公司主观因素导致突破前款第（</w:t>
      </w:r>
      <w:proofErr w:type="gramStart"/>
      <w:r>
        <w:rPr>
          <w:rFonts w:hint="eastAsia"/>
        </w:rPr>
        <w:t>一</w:t>
      </w:r>
      <w:proofErr w:type="gramEnd"/>
      <w:r>
        <w:rPr>
          <w:rFonts w:hint="eastAsia"/>
        </w:rPr>
        <w:t>）（二）项比例限制的，商业银行、理财公司应当在</w:t>
      </w:r>
      <w:r>
        <w:rPr>
          <w:rFonts w:hint="eastAsia"/>
        </w:rPr>
        <w:t>10</w:t>
      </w:r>
      <w:r>
        <w:rPr>
          <w:rFonts w:hint="eastAsia"/>
        </w:rPr>
        <w:t>个交易日内调整至符合要求，银保监会规定的特殊情形除外。</w:t>
      </w:r>
    </w:p>
    <w:p w14:paraId="1410A9A3" w14:textId="77777777" w:rsidR="00EE10C0" w:rsidRDefault="00EE10C0" w:rsidP="00DF6D48">
      <w:pPr>
        <w:pStyle w:val="AD"/>
        <w:spacing w:line="276" w:lineRule="auto"/>
      </w:pPr>
    </w:p>
    <w:p w14:paraId="5E4899B2" w14:textId="77777777" w:rsidR="00EE10C0" w:rsidRDefault="00EE10C0" w:rsidP="00DF6D48">
      <w:pPr>
        <w:pStyle w:val="AD"/>
        <w:spacing w:line="276" w:lineRule="auto"/>
      </w:pPr>
      <w:r>
        <w:rPr>
          <w:rFonts w:hint="eastAsia"/>
        </w:rPr>
        <w:t>商业银行、理财公司单只现金管理类产品前</w:t>
      </w:r>
      <w:r>
        <w:rPr>
          <w:rFonts w:hint="eastAsia"/>
        </w:rPr>
        <w:t>10</w:t>
      </w:r>
      <w:r>
        <w:rPr>
          <w:rFonts w:hint="eastAsia"/>
        </w:rPr>
        <w:t>名投资者的持有份额合计超过该产品总份额</w:t>
      </w:r>
      <w:r>
        <w:rPr>
          <w:rFonts w:hint="eastAsia"/>
        </w:rPr>
        <w:t>50%</w:t>
      </w:r>
      <w:r>
        <w:rPr>
          <w:rFonts w:hint="eastAsia"/>
        </w:rPr>
        <w:t>的，当投资组合中现金、国债、中央银行票据、政策性金融债券以及</w:t>
      </w:r>
      <w:r>
        <w:rPr>
          <w:rFonts w:hint="eastAsia"/>
        </w:rPr>
        <w:t>5</w:t>
      </w:r>
      <w:r>
        <w:rPr>
          <w:rFonts w:hint="eastAsia"/>
        </w:rPr>
        <w:t>个交易日内到期的其他金融工具占该产品资产净值的比例合计低于</w:t>
      </w:r>
      <w:r>
        <w:rPr>
          <w:rFonts w:hint="eastAsia"/>
        </w:rPr>
        <w:t>10%</w:t>
      </w:r>
      <w:r>
        <w:rPr>
          <w:rFonts w:hint="eastAsia"/>
        </w:rPr>
        <w:t>且偏离度为负时，商业银行、理财公司应当对投资者超过该产品总份额</w:t>
      </w:r>
      <w:r>
        <w:rPr>
          <w:rFonts w:hint="eastAsia"/>
        </w:rPr>
        <w:t>1%</w:t>
      </w:r>
      <w:r>
        <w:rPr>
          <w:rFonts w:hint="eastAsia"/>
        </w:rPr>
        <w:t>以上的赎回申请征收</w:t>
      </w:r>
      <w:r>
        <w:rPr>
          <w:rFonts w:hint="eastAsia"/>
        </w:rPr>
        <w:t>1%</w:t>
      </w:r>
      <w:r>
        <w:rPr>
          <w:rFonts w:hint="eastAsia"/>
        </w:rPr>
        <w:t>的强制赎回费用。</w:t>
      </w:r>
    </w:p>
    <w:p w14:paraId="223D2672" w14:textId="77777777" w:rsidR="00EE10C0" w:rsidRDefault="00EE10C0" w:rsidP="00DF6D48">
      <w:pPr>
        <w:pStyle w:val="AD"/>
        <w:spacing w:line="276" w:lineRule="auto"/>
      </w:pPr>
    </w:p>
    <w:p w14:paraId="1EF8A2A8" w14:textId="77777777" w:rsidR="00EE10C0" w:rsidRDefault="00EE10C0" w:rsidP="00DF6D48">
      <w:pPr>
        <w:pStyle w:val="AD"/>
        <w:spacing w:line="276" w:lineRule="auto"/>
      </w:pPr>
      <w:r>
        <w:rPr>
          <w:rFonts w:hint="eastAsia"/>
        </w:rPr>
        <w:t>商业银行、理财公司应当在现金管理类产品的半年和年度报告中，披露每只现金管理类产品前</w:t>
      </w:r>
      <w:r>
        <w:rPr>
          <w:rFonts w:hint="eastAsia"/>
        </w:rPr>
        <w:t>10</w:t>
      </w:r>
      <w:r>
        <w:rPr>
          <w:rFonts w:hint="eastAsia"/>
        </w:rPr>
        <w:t>名投资者的类别、持有份额及占总份额的比例等信息。</w:t>
      </w:r>
    </w:p>
    <w:p w14:paraId="4384C632" w14:textId="77777777" w:rsidR="00EE10C0" w:rsidRDefault="00EE10C0" w:rsidP="00DF6D48">
      <w:pPr>
        <w:pStyle w:val="AD"/>
        <w:spacing w:line="276" w:lineRule="auto"/>
      </w:pPr>
    </w:p>
    <w:p w14:paraId="57B44AB9" w14:textId="77777777" w:rsidR="00EE10C0" w:rsidRDefault="00EE10C0" w:rsidP="00DF6D48">
      <w:pPr>
        <w:pStyle w:val="AD"/>
        <w:spacing w:line="276" w:lineRule="auto"/>
      </w:pPr>
      <w:r>
        <w:rPr>
          <w:rFonts w:hint="eastAsia"/>
        </w:rPr>
        <w:t>现金管理类产品存续期间，如出现单一投资者持有产品份额达到或者超过该产品总份额</w:t>
      </w:r>
      <w:r>
        <w:rPr>
          <w:rFonts w:hint="eastAsia"/>
        </w:rPr>
        <w:t>20%</w:t>
      </w:r>
      <w:r>
        <w:rPr>
          <w:rFonts w:hint="eastAsia"/>
        </w:rPr>
        <w:t>的情形，为保障其他投资者的权益，商业银行、理财公司应当在定期报告中披露该投资者的类别、持有份额及占比、持有份额变化情况及产品风险等信息，银保监会认定的特殊情形除外。</w:t>
      </w:r>
    </w:p>
    <w:p w14:paraId="3AA37DE3" w14:textId="77777777" w:rsidR="00EE10C0" w:rsidRDefault="00EE10C0" w:rsidP="00DF6D48">
      <w:pPr>
        <w:pStyle w:val="AD"/>
        <w:spacing w:line="276" w:lineRule="auto"/>
      </w:pPr>
    </w:p>
    <w:p w14:paraId="2D214FC6" w14:textId="77777777" w:rsidR="00EE10C0" w:rsidRDefault="00EE10C0" w:rsidP="00DF6D48">
      <w:pPr>
        <w:pStyle w:val="AD"/>
        <w:spacing w:line="276" w:lineRule="auto"/>
      </w:pPr>
      <w:r>
        <w:rPr>
          <w:rFonts w:hint="eastAsia"/>
        </w:rPr>
        <w:t>九、商业银行、理财公司销售现金管理类产品，应当加强投资者适当性管理，向投资者充分披露信息和揭示风险，不得宣传或者承诺保本保收益，不得夸大或者片面宣传现金管理类产品的投资收益或者过往业绩。</w:t>
      </w:r>
    </w:p>
    <w:p w14:paraId="71FE1E64" w14:textId="77777777" w:rsidR="00EE10C0" w:rsidRDefault="00EE10C0" w:rsidP="00DF6D48">
      <w:pPr>
        <w:pStyle w:val="AD"/>
        <w:spacing w:line="276" w:lineRule="auto"/>
      </w:pPr>
    </w:p>
    <w:p w14:paraId="3CE0DCC3" w14:textId="77777777" w:rsidR="00EE10C0" w:rsidRDefault="00EE10C0" w:rsidP="00DF6D48">
      <w:pPr>
        <w:pStyle w:val="AD"/>
        <w:spacing w:line="276" w:lineRule="auto"/>
      </w:pPr>
      <w:r>
        <w:rPr>
          <w:rFonts w:hint="eastAsia"/>
        </w:rPr>
        <w:t>十、商业银行、理财公司应当根据现金管理类产品的业务性质和风险特征，建立健全现金管理类产品的业务管理制度，制定和实施相应的风险管理政策和程序，确保持续有效地识别、计量、监测和控制相关业务的各类风险，确保现金管理类产品管理规模与自身的人员储备、投</w:t>
      </w:r>
      <w:proofErr w:type="gramStart"/>
      <w:r>
        <w:rPr>
          <w:rFonts w:hint="eastAsia"/>
        </w:rPr>
        <w:t>研</w:t>
      </w:r>
      <w:proofErr w:type="gramEnd"/>
      <w:r>
        <w:rPr>
          <w:rFonts w:hint="eastAsia"/>
        </w:rPr>
        <w:t>和客户服务能力、风险管理和内部控制水平相匹配。</w:t>
      </w:r>
    </w:p>
    <w:p w14:paraId="1981F730" w14:textId="77777777" w:rsidR="00EE10C0" w:rsidRDefault="00EE10C0" w:rsidP="00DF6D48">
      <w:pPr>
        <w:pStyle w:val="AD"/>
        <w:spacing w:line="276" w:lineRule="auto"/>
      </w:pPr>
    </w:p>
    <w:p w14:paraId="29F4B7D1" w14:textId="77777777" w:rsidR="00EE10C0" w:rsidRDefault="00EE10C0" w:rsidP="00DF6D48">
      <w:pPr>
        <w:pStyle w:val="AD"/>
        <w:spacing w:line="276" w:lineRule="auto"/>
      </w:pPr>
      <w:r>
        <w:rPr>
          <w:rFonts w:hint="eastAsia"/>
        </w:rPr>
        <w:t>商业银行、理财公司应当建立健全现金管理类产品压力测试制度，针对单只现金管理类产品，合理审慎设定并定期审核压力情景，审慎评估各类风险对现金管理类产品的影响，压力测试的数据应当准确可靠并及时更新，压力测试频率应当与现金管理类产品的规模和复杂程度相适应，并制定有效的现金管理类产品应急计划，确保其可以应对紧急情况下的产品赎回需求。</w:t>
      </w:r>
    </w:p>
    <w:p w14:paraId="2C3C9C6D" w14:textId="77777777" w:rsidR="00EE10C0" w:rsidRDefault="00EE10C0" w:rsidP="00DF6D48">
      <w:pPr>
        <w:pStyle w:val="AD"/>
        <w:spacing w:line="276" w:lineRule="auto"/>
      </w:pPr>
    </w:p>
    <w:p w14:paraId="2C49D0B9" w14:textId="77777777" w:rsidR="00EE10C0" w:rsidRDefault="00EE10C0" w:rsidP="00DF6D48">
      <w:pPr>
        <w:pStyle w:val="AD"/>
        <w:spacing w:line="276" w:lineRule="auto"/>
      </w:pPr>
      <w:r>
        <w:rPr>
          <w:rFonts w:hint="eastAsia"/>
        </w:rPr>
        <w:t>商业银行、理财公司应当对采用摊</w:t>
      </w:r>
      <w:proofErr w:type="gramStart"/>
      <w:r>
        <w:rPr>
          <w:rFonts w:hint="eastAsia"/>
        </w:rPr>
        <w:t>余成本</w:t>
      </w:r>
      <w:proofErr w:type="gramEnd"/>
      <w:r>
        <w:rPr>
          <w:rFonts w:hint="eastAsia"/>
        </w:rPr>
        <w:t>法进行核算的现金管理类产品实施规模控制。同一商业银行采用摊</w:t>
      </w:r>
      <w:proofErr w:type="gramStart"/>
      <w:r>
        <w:rPr>
          <w:rFonts w:hint="eastAsia"/>
        </w:rPr>
        <w:t>余成本</w:t>
      </w:r>
      <w:proofErr w:type="gramEnd"/>
      <w:r>
        <w:rPr>
          <w:rFonts w:hint="eastAsia"/>
        </w:rPr>
        <w:t>法进行核算的现金管理类产品的月末资产净值，合计不得超过其全部理财产品月末资产净值的</w:t>
      </w:r>
      <w:r>
        <w:rPr>
          <w:rFonts w:hint="eastAsia"/>
        </w:rPr>
        <w:t>30%</w:t>
      </w:r>
      <w:r>
        <w:rPr>
          <w:rFonts w:hint="eastAsia"/>
        </w:rPr>
        <w:t>。同一理财公司采用摊</w:t>
      </w:r>
      <w:proofErr w:type="gramStart"/>
      <w:r>
        <w:rPr>
          <w:rFonts w:hint="eastAsia"/>
        </w:rPr>
        <w:t>余成本</w:t>
      </w:r>
      <w:proofErr w:type="gramEnd"/>
      <w:r>
        <w:rPr>
          <w:rFonts w:hint="eastAsia"/>
        </w:rPr>
        <w:t>法进行核算的现金管理类产品的月末资产净值，合计不得超过其风险准备金月末余额的</w:t>
      </w:r>
      <w:r>
        <w:rPr>
          <w:rFonts w:hint="eastAsia"/>
        </w:rPr>
        <w:t>200</w:t>
      </w:r>
      <w:r>
        <w:rPr>
          <w:rFonts w:hint="eastAsia"/>
        </w:rPr>
        <w:t>倍。银保监会可结合现金管理类产品的合</w:t>
      </w:r>
      <w:proofErr w:type="gramStart"/>
      <w:r>
        <w:rPr>
          <w:rFonts w:hint="eastAsia"/>
        </w:rPr>
        <w:t>规</w:t>
      </w:r>
      <w:proofErr w:type="gramEnd"/>
      <w:r>
        <w:rPr>
          <w:rFonts w:hint="eastAsia"/>
        </w:rPr>
        <w:t>运作情况、风险管理水平与认购赎回机制安排等，适时调整上述比例。</w:t>
      </w:r>
    </w:p>
    <w:p w14:paraId="26D91BDB" w14:textId="77777777" w:rsidR="00EE10C0" w:rsidRDefault="00EE10C0" w:rsidP="00DF6D48">
      <w:pPr>
        <w:pStyle w:val="AD"/>
        <w:spacing w:line="276" w:lineRule="auto"/>
      </w:pPr>
    </w:p>
    <w:p w14:paraId="720E6172" w14:textId="77777777" w:rsidR="00EE10C0" w:rsidRDefault="00EE10C0" w:rsidP="00DF6D48">
      <w:pPr>
        <w:pStyle w:val="AD"/>
        <w:spacing w:line="276" w:lineRule="auto"/>
      </w:pPr>
      <w:r>
        <w:rPr>
          <w:rFonts w:hint="eastAsia"/>
        </w:rPr>
        <w:t>商业银行、理财公司应当审慎设定投资者在提交现金管理类产品赎回申请当日取得赎回金额的额度，对单个投资者在单个销售渠道持有的单只产品单个自然日的赎回金额设定不高于</w:t>
      </w:r>
      <w:r>
        <w:rPr>
          <w:rFonts w:hint="eastAsia"/>
        </w:rPr>
        <w:t>1</w:t>
      </w:r>
      <w:r>
        <w:rPr>
          <w:rFonts w:hint="eastAsia"/>
        </w:rPr>
        <w:t>万元的上限。</w:t>
      </w:r>
    </w:p>
    <w:p w14:paraId="2CBD37CB" w14:textId="77777777" w:rsidR="00EE10C0" w:rsidRDefault="00EE10C0" w:rsidP="00DF6D48">
      <w:pPr>
        <w:pStyle w:val="AD"/>
        <w:spacing w:line="276" w:lineRule="auto"/>
      </w:pPr>
    </w:p>
    <w:p w14:paraId="72123771" w14:textId="77777777" w:rsidR="00EE10C0" w:rsidRDefault="00EE10C0" w:rsidP="00DF6D48">
      <w:pPr>
        <w:pStyle w:val="AD"/>
        <w:spacing w:line="276" w:lineRule="auto"/>
      </w:pPr>
      <w:r>
        <w:rPr>
          <w:rFonts w:hint="eastAsia"/>
        </w:rPr>
        <w:t>十一、商业银行、理财公司应当加强现金管理类产品开展同业融资的流动性风险、交易对手风险和操作风险等风险管理，做好期限管理和</w:t>
      </w:r>
      <w:proofErr w:type="gramStart"/>
      <w:r>
        <w:rPr>
          <w:rFonts w:hint="eastAsia"/>
        </w:rPr>
        <w:t>集中度管控</w:t>
      </w:r>
      <w:proofErr w:type="gramEnd"/>
      <w:r>
        <w:rPr>
          <w:rFonts w:hint="eastAsia"/>
        </w:rPr>
        <w:t>，按照穿透原则对交易对手实施尽职调查和准入管理，设置适当的交易限额并根据需要进行动态调整。</w:t>
      </w:r>
    </w:p>
    <w:p w14:paraId="3FE5DBF1" w14:textId="77777777" w:rsidR="00EE10C0" w:rsidRDefault="00EE10C0" w:rsidP="00DF6D48">
      <w:pPr>
        <w:pStyle w:val="AD"/>
        <w:spacing w:line="276" w:lineRule="auto"/>
      </w:pPr>
    </w:p>
    <w:p w14:paraId="703389FC" w14:textId="77777777" w:rsidR="00EE10C0" w:rsidRDefault="00EE10C0" w:rsidP="00DF6D48">
      <w:pPr>
        <w:pStyle w:val="AD"/>
        <w:spacing w:line="276" w:lineRule="auto"/>
      </w:pPr>
      <w:r>
        <w:rPr>
          <w:rFonts w:hint="eastAsia"/>
        </w:rPr>
        <w:t>商业银行、理财公司应当建立健全买入返</w:t>
      </w:r>
      <w:proofErr w:type="gramStart"/>
      <w:r>
        <w:rPr>
          <w:rFonts w:hint="eastAsia"/>
        </w:rPr>
        <w:t>售交易</w:t>
      </w:r>
      <w:proofErr w:type="gramEnd"/>
      <w:r>
        <w:rPr>
          <w:rFonts w:hint="eastAsia"/>
        </w:rPr>
        <w:t>质押品的管理制度，采用科学合理的质押品估值方法，审慎确定质押品折扣系数，确保其能够满足正常和压力情景下融资交易的质押品需求，并且能够及时向相关交易对手履行返售质押品的义务。现金管理类产品与相关交易对手开展买入返</w:t>
      </w:r>
      <w:proofErr w:type="gramStart"/>
      <w:r>
        <w:rPr>
          <w:rFonts w:hint="eastAsia"/>
        </w:rPr>
        <w:t>售交易</w:t>
      </w:r>
      <w:proofErr w:type="gramEnd"/>
      <w:r>
        <w:rPr>
          <w:rFonts w:hint="eastAsia"/>
        </w:rPr>
        <w:t>的，可接受的合格质押</w:t>
      </w:r>
      <w:proofErr w:type="gramStart"/>
      <w:r>
        <w:rPr>
          <w:rFonts w:hint="eastAsia"/>
        </w:rPr>
        <w:t>品应当</w:t>
      </w:r>
      <w:proofErr w:type="gramEnd"/>
      <w:r>
        <w:rPr>
          <w:rFonts w:hint="eastAsia"/>
        </w:rPr>
        <w:t>与销售文件约定的投资范围保持一致。</w:t>
      </w:r>
    </w:p>
    <w:p w14:paraId="044175CC" w14:textId="77777777" w:rsidR="00EE10C0" w:rsidRDefault="00EE10C0" w:rsidP="00DF6D48">
      <w:pPr>
        <w:pStyle w:val="AD"/>
        <w:spacing w:line="276" w:lineRule="auto"/>
      </w:pPr>
    </w:p>
    <w:p w14:paraId="5E50C04A" w14:textId="77777777" w:rsidR="00EE10C0" w:rsidRDefault="00EE10C0" w:rsidP="00DF6D48">
      <w:pPr>
        <w:pStyle w:val="AD"/>
        <w:spacing w:line="276" w:lineRule="auto"/>
      </w:pPr>
      <w:r>
        <w:rPr>
          <w:rFonts w:hint="eastAsia"/>
        </w:rPr>
        <w:t>十二、本通知自发布之日起施行。过渡期自本通知施行之日起至</w:t>
      </w:r>
      <w:r>
        <w:rPr>
          <w:rFonts w:hint="eastAsia"/>
        </w:rPr>
        <w:t>2022</w:t>
      </w:r>
      <w:r>
        <w:rPr>
          <w:rFonts w:hint="eastAsia"/>
        </w:rPr>
        <w:t>年底。</w:t>
      </w:r>
    </w:p>
    <w:p w14:paraId="5AEDC507" w14:textId="77777777" w:rsidR="00EE10C0" w:rsidRDefault="00EE10C0" w:rsidP="00DF6D48">
      <w:pPr>
        <w:pStyle w:val="AD"/>
        <w:spacing w:line="276" w:lineRule="auto"/>
      </w:pPr>
    </w:p>
    <w:p w14:paraId="6EAC77D4" w14:textId="77777777" w:rsidR="00EE10C0" w:rsidRDefault="00EE10C0" w:rsidP="00DF6D48">
      <w:pPr>
        <w:pStyle w:val="AD"/>
        <w:spacing w:line="276" w:lineRule="auto"/>
      </w:pPr>
      <w:r>
        <w:rPr>
          <w:rFonts w:hint="eastAsia"/>
        </w:rPr>
        <w:t>过渡期内，新发行的现金管理类产品应当符合本通知规定；对于不符合本通知规定的存量产品，商业银行、理财公司应当按照《关于规范金融机构资产管理业务的指导意见》《商业银行理财业务监督管理办法》和本通知相关要求实施整改。</w:t>
      </w:r>
    </w:p>
    <w:p w14:paraId="697DFB7F" w14:textId="77777777" w:rsidR="00EE10C0" w:rsidRDefault="00EE10C0" w:rsidP="00DF6D48">
      <w:pPr>
        <w:pStyle w:val="AD"/>
        <w:spacing w:line="276" w:lineRule="auto"/>
      </w:pPr>
    </w:p>
    <w:p w14:paraId="21261E2A" w14:textId="77777777" w:rsidR="00EE10C0" w:rsidRDefault="00EE10C0" w:rsidP="00DF6D48">
      <w:pPr>
        <w:pStyle w:val="AD"/>
        <w:spacing w:line="276" w:lineRule="auto"/>
      </w:pPr>
      <w:r>
        <w:rPr>
          <w:rFonts w:hint="eastAsia"/>
        </w:rPr>
        <w:t>过渡期结束之后，商业银行、理财公司不得再发行或者存续不符合本通知规定的现金管理类产品。</w:t>
      </w:r>
    </w:p>
    <w:p w14:paraId="4E6001BB" w14:textId="77777777" w:rsidR="00EE10C0" w:rsidRDefault="00EE10C0" w:rsidP="00DF6D48">
      <w:pPr>
        <w:pStyle w:val="AD"/>
        <w:spacing w:line="276" w:lineRule="auto"/>
      </w:pPr>
    </w:p>
    <w:p w14:paraId="542F3FEB" w14:textId="77777777" w:rsidR="00EE10C0" w:rsidRDefault="00EE10C0" w:rsidP="00DF6D48">
      <w:pPr>
        <w:pStyle w:val="AD"/>
        <w:spacing w:line="276" w:lineRule="auto"/>
      </w:pPr>
      <w:r>
        <w:rPr>
          <w:rFonts w:hint="eastAsia"/>
        </w:rPr>
        <w:t>十三、农村合作银行、农村信用合作社、外国银行分行等其他银行业金融机构开展现金管理类产品业务，适用本通知规定。</w:t>
      </w:r>
    </w:p>
    <w:p w14:paraId="52165E11" w14:textId="5AF45E34" w:rsidR="00EE10C0" w:rsidRDefault="00EE10C0" w:rsidP="00DF6D48">
      <w:pPr>
        <w:pStyle w:val="AD"/>
        <w:spacing w:line="276" w:lineRule="auto"/>
      </w:pPr>
    </w:p>
    <w:p w14:paraId="3F23A27E" w14:textId="77777777" w:rsidR="00EE10C0" w:rsidRDefault="00EE10C0" w:rsidP="00DF6D48">
      <w:pPr>
        <w:pStyle w:val="AD"/>
        <w:spacing w:line="276" w:lineRule="auto"/>
      </w:pPr>
    </w:p>
    <w:p w14:paraId="1834E165" w14:textId="77777777" w:rsidR="00980BFE" w:rsidRDefault="00EE10C0" w:rsidP="00DF6D48">
      <w:pPr>
        <w:pStyle w:val="AD"/>
        <w:spacing w:line="276" w:lineRule="auto"/>
        <w:jc w:val="right"/>
      </w:pPr>
      <w:r>
        <w:rPr>
          <w:rFonts w:hint="eastAsia"/>
        </w:rPr>
        <w:t>中国银保监会</w:t>
      </w:r>
    </w:p>
    <w:p w14:paraId="551DA054" w14:textId="6BDCFF23" w:rsidR="00EE10C0" w:rsidRDefault="00EE10C0" w:rsidP="00DF6D48">
      <w:pPr>
        <w:pStyle w:val="AD"/>
        <w:spacing w:line="276" w:lineRule="auto"/>
        <w:jc w:val="right"/>
      </w:pPr>
      <w:r>
        <w:rPr>
          <w:rFonts w:hint="eastAsia"/>
        </w:rPr>
        <w:t>中国人民银行</w:t>
      </w:r>
    </w:p>
    <w:p w14:paraId="3A71985C" w14:textId="72A5ECA3" w:rsidR="00B15193" w:rsidRDefault="00EE10C0" w:rsidP="00DF6D48">
      <w:pPr>
        <w:pStyle w:val="AD"/>
        <w:spacing w:line="276" w:lineRule="auto"/>
        <w:jc w:val="right"/>
      </w:pPr>
      <w:r>
        <w:rPr>
          <w:rFonts w:hint="eastAsia"/>
        </w:rPr>
        <w:t>2021</w:t>
      </w:r>
      <w:r>
        <w:rPr>
          <w:rFonts w:hint="eastAsia"/>
        </w:rPr>
        <w:t>年</w:t>
      </w:r>
      <w:r>
        <w:rPr>
          <w:rFonts w:hint="eastAsia"/>
        </w:rPr>
        <w:t>5</w:t>
      </w:r>
      <w:r>
        <w:rPr>
          <w:rFonts w:hint="eastAsia"/>
        </w:rPr>
        <w:t>月</w:t>
      </w:r>
      <w:r>
        <w:rPr>
          <w:rFonts w:hint="eastAsia"/>
        </w:rPr>
        <w:t>27</w:t>
      </w:r>
      <w:r>
        <w:rPr>
          <w:rFonts w:hint="eastAsia"/>
        </w:rPr>
        <w:t>日</w:t>
      </w:r>
    </w:p>
    <w:p w14:paraId="627422F9" w14:textId="1C6E8ABE" w:rsidR="00EE10C0" w:rsidRDefault="00EE10C0" w:rsidP="00DF6D48">
      <w:pPr>
        <w:pStyle w:val="AD"/>
        <w:spacing w:line="276" w:lineRule="auto"/>
      </w:pPr>
    </w:p>
    <w:p w14:paraId="57CD5E28" w14:textId="7CA21B24" w:rsidR="00EE10C0" w:rsidRDefault="00EE10C0" w:rsidP="00DF6D48">
      <w:pPr>
        <w:pStyle w:val="AD"/>
        <w:spacing w:line="276" w:lineRule="auto"/>
      </w:pPr>
    </w:p>
    <w:p w14:paraId="23D23D44" w14:textId="77777777" w:rsidR="0080142B" w:rsidRDefault="00EE10C0" w:rsidP="00DF6D48">
      <w:pPr>
        <w:pStyle w:val="AD"/>
        <w:spacing w:line="276" w:lineRule="auto"/>
      </w:pPr>
      <w:r>
        <w:rPr>
          <w:rFonts w:hint="eastAsia"/>
        </w:rPr>
        <w:t>信息来源：</w:t>
      </w:r>
    </w:p>
    <w:p w14:paraId="71F82285" w14:textId="1D2260D8" w:rsidR="00EE10C0" w:rsidRDefault="0080142B" w:rsidP="00DF6D48">
      <w:pPr>
        <w:pStyle w:val="AD"/>
        <w:spacing w:line="276" w:lineRule="auto"/>
      </w:pPr>
      <w:hyperlink r:id="rId6" w:history="1">
        <w:r w:rsidRPr="004B3528">
          <w:rPr>
            <w:rStyle w:val="a9"/>
          </w:rPr>
          <w:t>http://www.cbirc.gov.cn/cn/view/pages/govermentDetail.html?docId=989851&amp;itemId=861&amp;generaltype=1</w:t>
        </w:r>
      </w:hyperlink>
    </w:p>
    <w:p w14:paraId="5EB51C7D" w14:textId="77777777" w:rsidR="00EE10C0" w:rsidRPr="00EE10C0" w:rsidRDefault="00EE10C0" w:rsidP="00DF6D48">
      <w:pPr>
        <w:pStyle w:val="AD"/>
        <w:spacing w:line="276" w:lineRule="auto"/>
      </w:pPr>
    </w:p>
    <w:sectPr w:rsidR="00EE10C0" w:rsidRPr="00EE10C0"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42FAB" w14:textId="77777777" w:rsidR="00FC0B9A" w:rsidRDefault="00FC0B9A" w:rsidP="00C20A6A">
      <w:pPr>
        <w:spacing w:line="240" w:lineRule="auto"/>
      </w:pPr>
      <w:r>
        <w:separator/>
      </w:r>
    </w:p>
  </w:endnote>
  <w:endnote w:type="continuationSeparator" w:id="0">
    <w:p w14:paraId="16E5FF25" w14:textId="77777777" w:rsidR="00FC0B9A" w:rsidRDefault="00FC0B9A"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CD2E5" w14:textId="77777777" w:rsidR="00FC0B9A" w:rsidRDefault="00FC0B9A" w:rsidP="00C20A6A">
      <w:pPr>
        <w:spacing w:line="240" w:lineRule="auto"/>
      </w:pPr>
      <w:r>
        <w:separator/>
      </w:r>
    </w:p>
  </w:footnote>
  <w:footnote w:type="continuationSeparator" w:id="0">
    <w:p w14:paraId="19029308" w14:textId="77777777" w:rsidR="00FC0B9A" w:rsidRDefault="00FC0B9A"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220BFA"/>
    <w:rsid w:val="000F4C6A"/>
    <w:rsid w:val="00176A25"/>
    <w:rsid w:val="001C4C6F"/>
    <w:rsid w:val="00220BFA"/>
    <w:rsid w:val="003D27E2"/>
    <w:rsid w:val="004E495C"/>
    <w:rsid w:val="005F7C76"/>
    <w:rsid w:val="006343CD"/>
    <w:rsid w:val="007D7BDB"/>
    <w:rsid w:val="0080142B"/>
    <w:rsid w:val="00980BFE"/>
    <w:rsid w:val="00A548E7"/>
    <w:rsid w:val="00B15193"/>
    <w:rsid w:val="00B731F1"/>
    <w:rsid w:val="00C20A6A"/>
    <w:rsid w:val="00C22624"/>
    <w:rsid w:val="00D02718"/>
    <w:rsid w:val="00DF6D48"/>
    <w:rsid w:val="00EE10C0"/>
    <w:rsid w:val="00FB1409"/>
    <w:rsid w:val="00FC0B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AB9CAA"/>
  <w15:chartTrackingRefBased/>
  <w15:docId w15:val="{5D014576-F8C9-4DE9-B73C-32AA11579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paragraph" w:styleId="a7">
    <w:name w:val="Date"/>
    <w:basedOn w:val="a"/>
    <w:next w:val="a"/>
    <w:link w:val="a8"/>
    <w:uiPriority w:val="99"/>
    <w:semiHidden/>
    <w:unhideWhenUsed/>
    <w:rsid w:val="00EE10C0"/>
    <w:pPr>
      <w:ind w:leftChars="2500" w:left="100"/>
    </w:pPr>
  </w:style>
  <w:style w:type="character" w:customStyle="1" w:styleId="a8">
    <w:name w:val="日期 字符"/>
    <w:basedOn w:val="a0"/>
    <w:link w:val="a7"/>
    <w:uiPriority w:val="99"/>
    <w:semiHidden/>
    <w:rsid w:val="00EE10C0"/>
    <w:rPr>
      <w:rFonts w:ascii="Arial" w:eastAsia="宋体" w:hAnsi="Arial"/>
      <w:sz w:val="22"/>
    </w:rPr>
  </w:style>
  <w:style w:type="character" w:styleId="a9">
    <w:name w:val="Hyperlink"/>
    <w:basedOn w:val="a0"/>
    <w:uiPriority w:val="99"/>
    <w:unhideWhenUsed/>
    <w:rsid w:val="00EE10C0"/>
    <w:rPr>
      <w:color w:val="0000FF" w:themeColor="hyperlink"/>
      <w:u w:val="single"/>
    </w:rPr>
  </w:style>
  <w:style w:type="character" w:styleId="aa">
    <w:name w:val="Unresolved Mention"/>
    <w:basedOn w:val="a0"/>
    <w:uiPriority w:val="99"/>
    <w:semiHidden/>
    <w:unhideWhenUsed/>
    <w:rsid w:val="00EE10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birc.gov.cn/cn/view/pages/govermentDetail.html?docId=989851&amp;itemId=861&amp;generaltype=1"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892</Words>
  <Characters>5088</Characters>
  <Application>Microsoft Office Word</Application>
  <DocSecurity>0</DocSecurity>
  <Lines>42</Lines>
  <Paragraphs>11</Paragraphs>
  <ScaleCrop>false</ScaleCrop>
  <Company/>
  <LinksUpToDate>false</LinksUpToDate>
  <CharactersWithSpaces>5969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7</cp:revision>
  <dcterms:created xsi:type="dcterms:W3CDTF">2021-06-17T08:25:00Z</dcterms:created>
  <dcterms:modified xsi:type="dcterms:W3CDTF">2021-06-18T03:05:00Z</dcterms:modified>
</cp:coreProperties>
</file>