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F093" w14:textId="2D11B387" w:rsidR="00C666C7" w:rsidRPr="00311C6E" w:rsidRDefault="00C666C7" w:rsidP="00CD6679">
      <w:pPr>
        <w:pStyle w:val="AD"/>
        <w:spacing w:line="276" w:lineRule="auto"/>
        <w:jc w:val="center"/>
        <w:rPr>
          <w:b/>
          <w:bCs/>
          <w:color w:val="E36C0A" w:themeColor="accent6" w:themeShade="BF"/>
          <w:sz w:val="32"/>
          <w:szCs w:val="32"/>
        </w:rPr>
      </w:pPr>
      <w:r w:rsidRPr="00311C6E">
        <w:rPr>
          <w:rFonts w:hint="eastAsia"/>
          <w:b/>
          <w:bCs/>
          <w:color w:val="E36C0A" w:themeColor="accent6" w:themeShade="BF"/>
          <w:sz w:val="32"/>
          <w:szCs w:val="32"/>
        </w:rPr>
        <w:t>关于加强重点领域信用监管的实施意见</w:t>
      </w:r>
    </w:p>
    <w:p w14:paraId="40841643" w14:textId="77777777" w:rsidR="00C666C7" w:rsidRDefault="00C666C7" w:rsidP="00CD6679">
      <w:pPr>
        <w:pStyle w:val="AD"/>
        <w:spacing w:line="276" w:lineRule="auto"/>
        <w:jc w:val="center"/>
      </w:pPr>
      <w:r>
        <w:rPr>
          <w:rFonts w:hint="eastAsia"/>
        </w:rPr>
        <w:t>国</w:t>
      </w:r>
      <w:proofErr w:type="gramStart"/>
      <w:r>
        <w:rPr>
          <w:rFonts w:hint="eastAsia"/>
        </w:rPr>
        <w:t>市监信</w:t>
      </w:r>
      <w:proofErr w:type="gramEnd"/>
      <w:r>
        <w:rPr>
          <w:rFonts w:hint="eastAsia"/>
        </w:rPr>
        <w:t>发〔</w:t>
      </w:r>
      <w:r>
        <w:rPr>
          <w:rFonts w:hint="eastAsia"/>
        </w:rPr>
        <w:t>2021</w:t>
      </w:r>
      <w:r>
        <w:rPr>
          <w:rFonts w:hint="eastAsia"/>
        </w:rPr>
        <w:t>〕</w:t>
      </w:r>
      <w:r>
        <w:rPr>
          <w:rFonts w:hint="eastAsia"/>
        </w:rPr>
        <w:t>28</w:t>
      </w:r>
      <w:r>
        <w:rPr>
          <w:rFonts w:hint="eastAsia"/>
        </w:rPr>
        <w:t>号</w:t>
      </w:r>
    </w:p>
    <w:p w14:paraId="414CFF66" w14:textId="77777777" w:rsidR="00C666C7" w:rsidRDefault="00C666C7" w:rsidP="00CD6679">
      <w:pPr>
        <w:pStyle w:val="AD"/>
        <w:spacing w:line="276" w:lineRule="auto"/>
      </w:pPr>
    </w:p>
    <w:p w14:paraId="41EEB21D" w14:textId="77777777" w:rsidR="00C666C7" w:rsidRDefault="00C666C7" w:rsidP="00CD6679">
      <w:pPr>
        <w:pStyle w:val="AD"/>
        <w:spacing w:line="276" w:lineRule="auto"/>
      </w:pPr>
      <w:r>
        <w:rPr>
          <w:rFonts w:hint="eastAsia"/>
        </w:rPr>
        <w:t>各省、自治区、直辖市和新疆生产建设兵团市场监管局（厅、委），总局各司局、各直属单位：</w:t>
      </w:r>
    </w:p>
    <w:p w14:paraId="7D33D600" w14:textId="77777777" w:rsidR="00C666C7" w:rsidRDefault="00C666C7" w:rsidP="00CD6679">
      <w:pPr>
        <w:pStyle w:val="AD"/>
        <w:spacing w:line="276" w:lineRule="auto"/>
      </w:pPr>
    </w:p>
    <w:p w14:paraId="48A5CB8A" w14:textId="77777777" w:rsidR="00C666C7" w:rsidRDefault="00C666C7" w:rsidP="00CD6679">
      <w:pPr>
        <w:pStyle w:val="AD"/>
        <w:spacing w:line="276" w:lineRule="auto"/>
      </w:pPr>
      <w:r>
        <w:rPr>
          <w:rFonts w:hint="eastAsia"/>
        </w:rPr>
        <w:t xml:space="preserve">　　为切实做好直接涉及公共安全和人民群众生命健康等重点领域的市场监管工作，以信用赋能市场监管，提升重点领域监管效能，构建长效治本监管机制，现就加强重点领域信用监管有关事项提出以下意见。</w:t>
      </w:r>
    </w:p>
    <w:p w14:paraId="1B7E4B9F" w14:textId="77777777" w:rsidR="00C666C7" w:rsidRDefault="00C666C7" w:rsidP="00CD6679">
      <w:pPr>
        <w:pStyle w:val="AD"/>
        <w:spacing w:line="276" w:lineRule="auto"/>
      </w:pPr>
    </w:p>
    <w:p w14:paraId="5727C81C" w14:textId="77777777" w:rsidR="00C666C7" w:rsidRDefault="00C666C7" w:rsidP="00CD6679">
      <w:pPr>
        <w:pStyle w:val="AD"/>
        <w:spacing w:line="276" w:lineRule="auto"/>
      </w:pPr>
      <w:r>
        <w:rPr>
          <w:rFonts w:hint="eastAsia"/>
        </w:rPr>
        <w:t xml:space="preserve">　　一、总体要求</w:t>
      </w:r>
    </w:p>
    <w:p w14:paraId="2C34C09A" w14:textId="77777777" w:rsidR="00C666C7" w:rsidRDefault="00C666C7" w:rsidP="00CD6679">
      <w:pPr>
        <w:pStyle w:val="AD"/>
        <w:spacing w:line="276" w:lineRule="auto"/>
      </w:pPr>
    </w:p>
    <w:p w14:paraId="7ECD9308" w14:textId="77777777" w:rsidR="00C666C7" w:rsidRDefault="00C666C7" w:rsidP="00CD6679">
      <w:pPr>
        <w:pStyle w:val="AD"/>
        <w:spacing w:line="276" w:lineRule="auto"/>
      </w:pPr>
      <w:r>
        <w:rPr>
          <w:rFonts w:hint="eastAsia"/>
        </w:rPr>
        <w:t xml:space="preserve">　　（一）指导思想</w:t>
      </w:r>
    </w:p>
    <w:p w14:paraId="2F8E97DD" w14:textId="77777777" w:rsidR="00C666C7" w:rsidRDefault="00C666C7" w:rsidP="00CD6679">
      <w:pPr>
        <w:pStyle w:val="AD"/>
        <w:spacing w:line="276" w:lineRule="auto"/>
      </w:pPr>
    </w:p>
    <w:p w14:paraId="0C64B9CD" w14:textId="77777777" w:rsidR="00C666C7" w:rsidRDefault="00C666C7" w:rsidP="00CD6679">
      <w:pPr>
        <w:pStyle w:val="AD"/>
        <w:spacing w:line="276" w:lineRule="auto"/>
      </w:pPr>
      <w:r>
        <w:rPr>
          <w:rFonts w:hint="eastAsia"/>
        </w:rPr>
        <w:t xml:space="preserve">　　坚持以习近平新时代中国特色社会主义思想为指导，深入贯彻党的十九大和十九届二中、三中、四中、五中全会精神，围绕建设高标准市场体系目标，将信用监管作为贯穿各业务领域和业务环节的基础性工作、系统性工程和重要着力点，聚焦市场监管重点领域，组织实施示范工程，提高监管的精准性、协同性和规范化水平，切实保障公共安全和人民群众生命健康，守住社会安全底线，营造良好发展环境，增强人民群众幸福感、获得感和安全感。</w:t>
      </w:r>
    </w:p>
    <w:p w14:paraId="0F38B003" w14:textId="77777777" w:rsidR="00C666C7" w:rsidRDefault="00C666C7" w:rsidP="00CD6679">
      <w:pPr>
        <w:pStyle w:val="AD"/>
        <w:spacing w:line="276" w:lineRule="auto"/>
      </w:pPr>
    </w:p>
    <w:p w14:paraId="0CC521F5" w14:textId="77777777" w:rsidR="00C666C7" w:rsidRDefault="00C666C7" w:rsidP="00CD6679">
      <w:pPr>
        <w:pStyle w:val="AD"/>
        <w:spacing w:line="276" w:lineRule="auto"/>
      </w:pPr>
      <w:r>
        <w:rPr>
          <w:rFonts w:hint="eastAsia"/>
        </w:rPr>
        <w:t xml:space="preserve">　　（二）基本原则</w:t>
      </w:r>
    </w:p>
    <w:p w14:paraId="01B476B2" w14:textId="77777777" w:rsidR="00C666C7" w:rsidRDefault="00C666C7" w:rsidP="00CD6679">
      <w:pPr>
        <w:pStyle w:val="AD"/>
        <w:spacing w:line="276" w:lineRule="auto"/>
      </w:pPr>
    </w:p>
    <w:p w14:paraId="033A311B" w14:textId="77777777" w:rsidR="00C666C7" w:rsidRDefault="00C666C7" w:rsidP="00CD6679">
      <w:pPr>
        <w:pStyle w:val="AD"/>
        <w:spacing w:line="276" w:lineRule="auto"/>
      </w:pPr>
      <w:r>
        <w:rPr>
          <w:rFonts w:hint="eastAsia"/>
        </w:rPr>
        <w:t xml:space="preserve">　　聚焦重点，精准发力。坚持问题导向，聚焦当前市场监管的重点领域，通过信用监管有效举措，推动形成企业自治、行业自律、社会监督、政府监管的共治格局，着力解决重点领域监管的突出问题。</w:t>
      </w:r>
    </w:p>
    <w:p w14:paraId="6A7A9341" w14:textId="77777777" w:rsidR="00C666C7" w:rsidRDefault="00C666C7" w:rsidP="00CD6679">
      <w:pPr>
        <w:pStyle w:val="AD"/>
        <w:spacing w:line="276" w:lineRule="auto"/>
      </w:pPr>
    </w:p>
    <w:p w14:paraId="7B700929" w14:textId="77777777" w:rsidR="00C666C7" w:rsidRDefault="00C666C7" w:rsidP="00CD6679">
      <w:pPr>
        <w:pStyle w:val="AD"/>
        <w:spacing w:line="276" w:lineRule="auto"/>
      </w:pPr>
      <w:r>
        <w:rPr>
          <w:rFonts w:hint="eastAsia"/>
        </w:rPr>
        <w:t xml:space="preserve">　　信用赋能，协同监管。坚持“管行业就要管信用、管业务就要管信用”，充分发挥信用基础性作用，推动信用与重点领域监管深度融合，加强协同联动，形成监管合力，提升监管效能。</w:t>
      </w:r>
    </w:p>
    <w:p w14:paraId="141C5951" w14:textId="77777777" w:rsidR="00C666C7" w:rsidRDefault="00C666C7" w:rsidP="00CD6679">
      <w:pPr>
        <w:pStyle w:val="AD"/>
        <w:spacing w:line="276" w:lineRule="auto"/>
      </w:pPr>
    </w:p>
    <w:p w14:paraId="1E9B2FCD" w14:textId="77777777" w:rsidR="00C666C7" w:rsidRDefault="00C666C7" w:rsidP="00CD6679">
      <w:pPr>
        <w:pStyle w:val="AD"/>
        <w:spacing w:line="276" w:lineRule="auto"/>
      </w:pPr>
      <w:r>
        <w:rPr>
          <w:rFonts w:hint="eastAsia"/>
        </w:rPr>
        <w:t xml:space="preserve">　　依法依规，公正规范。严格依照法律法规和政策规定推进重点领域事前事中事后全流程信用监管，健全完善工作程序，规范实施企业信息公示、失信惩戒、信用修复等，促进公平公正监管。</w:t>
      </w:r>
    </w:p>
    <w:p w14:paraId="428587DD" w14:textId="77777777" w:rsidR="00C666C7" w:rsidRDefault="00C666C7" w:rsidP="00CD6679">
      <w:pPr>
        <w:pStyle w:val="AD"/>
        <w:spacing w:line="276" w:lineRule="auto"/>
      </w:pPr>
    </w:p>
    <w:p w14:paraId="17BA1290" w14:textId="77777777" w:rsidR="00C666C7" w:rsidRDefault="00C666C7" w:rsidP="00CD6679">
      <w:pPr>
        <w:pStyle w:val="AD"/>
        <w:spacing w:line="276" w:lineRule="auto"/>
      </w:pPr>
      <w:r>
        <w:rPr>
          <w:rFonts w:hint="eastAsia"/>
        </w:rPr>
        <w:t xml:space="preserve">　　数字赋能，智慧监管。综合运用大数据、人工智能等信息技术手段，依托国家企业信用信息公示系统，建立完善重点领域信用记录、信用档案，推进企业信用风险分类管理，全面提升智慧监管水平。</w:t>
      </w:r>
    </w:p>
    <w:p w14:paraId="5866D9A8" w14:textId="77777777" w:rsidR="00C666C7" w:rsidRDefault="00C666C7" w:rsidP="00CD6679">
      <w:pPr>
        <w:pStyle w:val="AD"/>
        <w:spacing w:line="276" w:lineRule="auto"/>
      </w:pPr>
    </w:p>
    <w:p w14:paraId="7CB8D679" w14:textId="77777777" w:rsidR="00C666C7" w:rsidRDefault="00C666C7" w:rsidP="00CD6679">
      <w:pPr>
        <w:pStyle w:val="AD"/>
        <w:spacing w:line="276" w:lineRule="auto"/>
      </w:pPr>
      <w:r>
        <w:rPr>
          <w:rFonts w:hint="eastAsia"/>
        </w:rPr>
        <w:t xml:space="preserve">　　（三）工作目标</w:t>
      </w:r>
    </w:p>
    <w:p w14:paraId="5A08D4FE" w14:textId="77777777" w:rsidR="00C666C7" w:rsidRDefault="00C666C7" w:rsidP="00CD6679">
      <w:pPr>
        <w:pStyle w:val="AD"/>
        <w:spacing w:line="276" w:lineRule="auto"/>
      </w:pPr>
    </w:p>
    <w:p w14:paraId="1FE009FD" w14:textId="77777777" w:rsidR="00C666C7" w:rsidRDefault="00C666C7" w:rsidP="00CD6679">
      <w:pPr>
        <w:pStyle w:val="AD"/>
        <w:spacing w:line="276" w:lineRule="auto"/>
      </w:pPr>
      <w:r>
        <w:rPr>
          <w:rFonts w:hint="eastAsia"/>
        </w:rPr>
        <w:t xml:space="preserve">　　以食品、特种设备等生产企业监管为切入点，推进直接涉及公共安全和人民群众生命健康</w:t>
      </w:r>
      <w:r>
        <w:rPr>
          <w:rFonts w:hint="eastAsia"/>
        </w:rPr>
        <w:lastRenderedPageBreak/>
        <w:t>的市场监管重点领域信用监管，不断完善企业信息公示、信用承诺、“双随机、</w:t>
      </w:r>
      <w:proofErr w:type="gramStart"/>
      <w:r>
        <w:rPr>
          <w:rFonts w:hint="eastAsia"/>
        </w:rPr>
        <w:t>一</w:t>
      </w:r>
      <w:proofErr w:type="gramEnd"/>
      <w:r>
        <w:rPr>
          <w:rFonts w:hint="eastAsia"/>
        </w:rPr>
        <w:t>公开”监管、信用风险分类管理、失信惩戒、信用修复等制度举措，形成行之有效的重点领域信用监管工作机制和模式，提升监管效能。在此基础上，稳步推进市场监管其他领域信用监管工作。</w:t>
      </w:r>
    </w:p>
    <w:p w14:paraId="70EBF018" w14:textId="77777777" w:rsidR="00C666C7" w:rsidRDefault="00C666C7" w:rsidP="00CD6679">
      <w:pPr>
        <w:pStyle w:val="AD"/>
        <w:spacing w:line="276" w:lineRule="auto"/>
      </w:pPr>
    </w:p>
    <w:p w14:paraId="2666C9F9" w14:textId="77777777" w:rsidR="00C666C7" w:rsidRDefault="00C666C7" w:rsidP="00CD6679">
      <w:pPr>
        <w:pStyle w:val="AD"/>
        <w:spacing w:line="276" w:lineRule="auto"/>
      </w:pPr>
      <w:r>
        <w:rPr>
          <w:rFonts w:hint="eastAsia"/>
        </w:rPr>
        <w:t xml:space="preserve">　　二、实施清单管理，强化重点领域企业信息归集公示</w:t>
      </w:r>
    </w:p>
    <w:p w14:paraId="505F15AB" w14:textId="77777777" w:rsidR="00C666C7" w:rsidRDefault="00C666C7" w:rsidP="00CD6679">
      <w:pPr>
        <w:pStyle w:val="AD"/>
        <w:spacing w:line="276" w:lineRule="auto"/>
      </w:pPr>
    </w:p>
    <w:p w14:paraId="6ACF3482" w14:textId="77777777" w:rsidR="00C666C7" w:rsidRDefault="00C666C7" w:rsidP="00CD6679">
      <w:pPr>
        <w:pStyle w:val="AD"/>
        <w:spacing w:line="276" w:lineRule="auto"/>
      </w:pPr>
      <w:r>
        <w:rPr>
          <w:rFonts w:hint="eastAsia"/>
        </w:rPr>
        <w:t xml:space="preserve">　　（四）建立重点领域企业清单。对重点领域企业实施清单管理，理清监管对象底数。省级市场监管部门根据行政许可情况梳理重点领域企业清单（企业类型见附件</w:t>
      </w:r>
      <w:r>
        <w:rPr>
          <w:rFonts w:hint="eastAsia"/>
        </w:rPr>
        <w:t xml:space="preserve"> 1</w:t>
      </w:r>
      <w:r>
        <w:rPr>
          <w:rFonts w:hint="eastAsia"/>
        </w:rPr>
        <w:t>），根据清单对国家企业信用信息公示系统（以下简称公示系统）的相关企业进行分类标注；总局本级实施行政许可的，由总局建立清单并进行标注。建立公示系统和重点领域审批、监管、执法办案等系统对接机制，实现重点领域企业及时标注、动态调整。</w:t>
      </w:r>
    </w:p>
    <w:p w14:paraId="2A1E54F1" w14:textId="77777777" w:rsidR="00C666C7" w:rsidRDefault="00C666C7" w:rsidP="00CD6679">
      <w:pPr>
        <w:pStyle w:val="AD"/>
        <w:spacing w:line="276" w:lineRule="auto"/>
      </w:pPr>
    </w:p>
    <w:p w14:paraId="68AD62D0" w14:textId="77777777" w:rsidR="00C666C7" w:rsidRDefault="00C666C7" w:rsidP="00CD6679">
      <w:pPr>
        <w:pStyle w:val="AD"/>
        <w:spacing w:line="276" w:lineRule="auto"/>
      </w:pPr>
      <w:r>
        <w:rPr>
          <w:rFonts w:hint="eastAsia"/>
        </w:rPr>
        <w:t xml:space="preserve">　　（五）全面归集重点领域企业信息。立足当前企业信息归集工作基础，推动重点领域企业信息全面归集，制定重点归集事项清单（见附件</w:t>
      </w:r>
      <w:r>
        <w:rPr>
          <w:rFonts w:hint="eastAsia"/>
        </w:rPr>
        <w:t xml:space="preserve"> 2</w:t>
      </w:r>
      <w:r>
        <w:rPr>
          <w:rFonts w:hint="eastAsia"/>
        </w:rPr>
        <w:t>），明确信息归集的重点。总局和省级市场监管部门可视情况拓展信息归集范围。各级市场监管部门按照“谁产生、谁提供、谁负责”的原则，将重点领域企业行政许可、行政处罚、抽查检查（</w:t>
      </w:r>
      <w:proofErr w:type="gramStart"/>
      <w:r>
        <w:rPr>
          <w:rFonts w:hint="eastAsia"/>
        </w:rPr>
        <w:t>含监督</w:t>
      </w:r>
      <w:proofErr w:type="gramEnd"/>
      <w:r>
        <w:rPr>
          <w:rFonts w:hint="eastAsia"/>
        </w:rPr>
        <w:t>检查、监督抽检等，下同）结果等信息，依法依规及时归集到公示系统，记于企业名下。</w:t>
      </w:r>
    </w:p>
    <w:p w14:paraId="5EB4A76B" w14:textId="77777777" w:rsidR="00C666C7" w:rsidRDefault="00C666C7" w:rsidP="00CD6679">
      <w:pPr>
        <w:pStyle w:val="AD"/>
        <w:spacing w:line="276" w:lineRule="auto"/>
      </w:pPr>
    </w:p>
    <w:p w14:paraId="53879640" w14:textId="77777777" w:rsidR="00C666C7" w:rsidRDefault="00C666C7" w:rsidP="00CD6679">
      <w:pPr>
        <w:pStyle w:val="AD"/>
        <w:spacing w:line="276" w:lineRule="auto"/>
      </w:pPr>
      <w:r>
        <w:rPr>
          <w:rFonts w:hint="eastAsia"/>
        </w:rPr>
        <w:t xml:space="preserve">　　（六）依法公示重点领域企业信息。树立“公示即监管”的理念，坚持“公示为原则、不公示为例外”，除涉及个人隐私、国家安全、国家秘密或者社会公共利益的信息外，市场监管部门在履职过程中产生的涉</w:t>
      </w:r>
      <w:proofErr w:type="gramStart"/>
      <w:r>
        <w:rPr>
          <w:rFonts w:hint="eastAsia"/>
        </w:rPr>
        <w:t>企信息</w:t>
      </w:r>
      <w:proofErr w:type="gramEnd"/>
      <w:r>
        <w:rPr>
          <w:rFonts w:hint="eastAsia"/>
        </w:rPr>
        <w:t>应当依法向社会公示。在公示系统设置重点领域信息公示模块，全面公示重点领域企业行政许可、行政处罚、抽查检查结果等信息，充分运用社会力量约束企业违法失信行为。</w:t>
      </w:r>
    </w:p>
    <w:p w14:paraId="139C020D" w14:textId="77777777" w:rsidR="00C666C7" w:rsidRDefault="00C666C7" w:rsidP="00CD6679">
      <w:pPr>
        <w:pStyle w:val="AD"/>
        <w:spacing w:line="276" w:lineRule="auto"/>
      </w:pPr>
    </w:p>
    <w:p w14:paraId="6307564E" w14:textId="77777777" w:rsidR="00C666C7" w:rsidRDefault="00C666C7" w:rsidP="00CD6679">
      <w:pPr>
        <w:pStyle w:val="AD"/>
        <w:spacing w:line="276" w:lineRule="auto"/>
      </w:pPr>
      <w:r>
        <w:rPr>
          <w:rFonts w:hint="eastAsia"/>
        </w:rPr>
        <w:t xml:space="preserve">　　三、强化事前防范和事中监管，提升重点领域监管效能</w:t>
      </w:r>
    </w:p>
    <w:p w14:paraId="2B86E746" w14:textId="77777777" w:rsidR="00C666C7" w:rsidRDefault="00C666C7" w:rsidP="00CD6679">
      <w:pPr>
        <w:pStyle w:val="AD"/>
        <w:spacing w:line="276" w:lineRule="auto"/>
      </w:pPr>
    </w:p>
    <w:p w14:paraId="71632259" w14:textId="77777777" w:rsidR="00C666C7" w:rsidRDefault="00C666C7" w:rsidP="00CD6679">
      <w:pPr>
        <w:pStyle w:val="AD"/>
        <w:spacing w:line="276" w:lineRule="auto"/>
      </w:pPr>
      <w:r>
        <w:rPr>
          <w:rFonts w:hint="eastAsia"/>
        </w:rPr>
        <w:t xml:space="preserve">　　（七）积极推进信用承诺。推动在企业登记注册、行政审批等环节开展信用承诺，强化企业信用意识。依法依规推进重点领域证明事项和</w:t>
      </w:r>
      <w:proofErr w:type="gramStart"/>
      <w:r>
        <w:rPr>
          <w:rFonts w:hint="eastAsia"/>
        </w:rPr>
        <w:t>涉企</w:t>
      </w:r>
      <w:proofErr w:type="gramEnd"/>
      <w:r>
        <w:rPr>
          <w:rFonts w:hint="eastAsia"/>
        </w:rPr>
        <w:t>经营许可事项告知承诺，核查发现企业承诺不实的，依法终止办理、责令限期整改、撤销行政决定或者予以行政处罚，纳入信用记录并通过公示系统公示。根据重点领域监管需要，总局将适时建立工作机制，制定格式文本，引导企业通过公示系统主动公示信用承诺，支持省级市场监管部门先行先试，强化信用约束、社会监督。</w:t>
      </w:r>
    </w:p>
    <w:p w14:paraId="032999D6" w14:textId="77777777" w:rsidR="00C666C7" w:rsidRDefault="00C666C7" w:rsidP="00CD6679">
      <w:pPr>
        <w:pStyle w:val="AD"/>
        <w:spacing w:line="276" w:lineRule="auto"/>
      </w:pPr>
    </w:p>
    <w:p w14:paraId="6DFF50A0" w14:textId="77777777" w:rsidR="00C666C7" w:rsidRDefault="00C666C7" w:rsidP="00CD6679">
      <w:pPr>
        <w:pStyle w:val="AD"/>
        <w:spacing w:line="276" w:lineRule="auto"/>
      </w:pPr>
      <w:r>
        <w:rPr>
          <w:rFonts w:hint="eastAsia"/>
        </w:rPr>
        <w:t xml:space="preserve">　　（八）大力推进信用风险分类管理。总局牵头建立通用型企业信用风险分类管理模型，不断优化完善指标体系，提高分类的科学性，共享信用风险分类结果。食品、特种设备等重点领域监管机构可以结合本领域特点，参考通用型企业信用风险分类管理模型建立专业模型，针对不同信用风险类别的企业，采取差异化监管措施。</w:t>
      </w:r>
    </w:p>
    <w:p w14:paraId="76C4F892" w14:textId="77777777" w:rsidR="00C666C7" w:rsidRDefault="00C666C7" w:rsidP="00CD6679">
      <w:pPr>
        <w:pStyle w:val="AD"/>
        <w:spacing w:line="276" w:lineRule="auto"/>
      </w:pPr>
    </w:p>
    <w:p w14:paraId="7D80DFEA" w14:textId="77777777" w:rsidR="00C666C7" w:rsidRDefault="00C666C7" w:rsidP="00CD6679">
      <w:pPr>
        <w:pStyle w:val="AD"/>
        <w:spacing w:line="276" w:lineRule="auto"/>
      </w:pPr>
      <w:r>
        <w:rPr>
          <w:rFonts w:hint="eastAsia"/>
        </w:rPr>
        <w:t xml:space="preserve">　　（九）统筹推进重点监管和“双随机、</w:t>
      </w:r>
      <w:proofErr w:type="gramStart"/>
      <w:r>
        <w:rPr>
          <w:rFonts w:hint="eastAsia"/>
        </w:rPr>
        <w:t>一</w:t>
      </w:r>
      <w:proofErr w:type="gramEnd"/>
      <w:r>
        <w:rPr>
          <w:rFonts w:hint="eastAsia"/>
        </w:rPr>
        <w:t>公开”监管。根据区域和行业风险特点，探索建</w:t>
      </w:r>
      <w:r>
        <w:rPr>
          <w:rFonts w:hint="eastAsia"/>
        </w:rPr>
        <w:lastRenderedPageBreak/>
        <w:t>立重点监管事项清单制度，全面梳理职责范围内的重点监管事项，明确监管主体、监管对象、监管措施等内容，依法依规实行重点监管。在重点监管事项清单之外，推进“双随机、</w:t>
      </w:r>
      <w:proofErr w:type="gramStart"/>
      <w:r>
        <w:rPr>
          <w:rFonts w:hint="eastAsia"/>
        </w:rPr>
        <w:t>一</w:t>
      </w:r>
      <w:proofErr w:type="gramEnd"/>
      <w:r>
        <w:rPr>
          <w:rFonts w:hint="eastAsia"/>
        </w:rPr>
        <w:t>公开”</w:t>
      </w:r>
      <w:proofErr w:type="gramStart"/>
      <w:r>
        <w:rPr>
          <w:rFonts w:hint="eastAsia"/>
        </w:rPr>
        <w:t>监管全</w:t>
      </w:r>
      <w:proofErr w:type="gramEnd"/>
      <w:r>
        <w:rPr>
          <w:rFonts w:hint="eastAsia"/>
        </w:rPr>
        <w:t>覆盖，与企业信用风险分类结果相结合，提高问题发现能力。</w:t>
      </w:r>
    </w:p>
    <w:p w14:paraId="541AFCFB" w14:textId="77777777" w:rsidR="00C666C7" w:rsidRDefault="00C666C7" w:rsidP="00CD6679">
      <w:pPr>
        <w:pStyle w:val="AD"/>
        <w:spacing w:line="276" w:lineRule="auto"/>
      </w:pPr>
    </w:p>
    <w:p w14:paraId="2A681575" w14:textId="77777777" w:rsidR="00C666C7" w:rsidRDefault="00C666C7" w:rsidP="00CD6679">
      <w:pPr>
        <w:pStyle w:val="AD"/>
        <w:spacing w:line="276" w:lineRule="auto"/>
      </w:pPr>
      <w:r>
        <w:rPr>
          <w:rFonts w:hint="eastAsia"/>
        </w:rPr>
        <w:t xml:space="preserve">　　四、加大事后失信惩戒力度，提高重点领域违法成本</w:t>
      </w:r>
    </w:p>
    <w:p w14:paraId="760BEF09" w14:textId="77777777" w:rsidR="00C666C7" w:rsidRDefault="00C666C7" w:rsidP="00CD6679">
      <w:pPr>
        <w:pStyle w:val="AD"/>
        <w:spacing w:line="276" w:lineRule="auto"/>
      </w:pPr>
    </w:p>
    <w:p w14:paraId="42DE1BB0" w14:textId="77777777" w:rsidR="00C666C7" w:rsidRDefault="00C666C7" w:rsidP="00CD6679">
      <w:pPr>
        <w:pStyle w:val="AD"/>
        <w:spacing w:line="276" w:lineRule="auto"/>
      </w:pPr>
      <w:r>
        <w:rPr>
          <w:rFonts w:hint="eastAsia"/>
        </w:rPr>
        <w:t xml:space="preserve">　　（十）加强严重违法失信名单管理。总局建立统一的严重违法失信名单管理制度，推进重点领域严重违法失信名单管理工作。重点领域监管机构、执法办案机构、信用监管机构建立协同管理工作机制，依法做好严重违法失信名单列入、移出、公示和信用修复工作。</w:t>
      </w:r>
    </w:p>
    <w:p w14:paraId="5DD90CAC" w14:textId="77777777" w:rsidR="00C666C7" w:rsidRDefault="00C666C7" w:rsidP="00CD6679">
      <w:pPr>
        <w:pStyle w:val="AD"/>
        <w:spacing w:line="276" w:lineRule="auto"/>
      </w:pPr>
    </w:p>
    <w:p w14:paraId="6AC8053D" w14:textId="77777777" w:rsidR="00C666C7" w:rsidRDefault="00C666C7" w:rsidP="00CD6679">
      <w:pPr>
        <w:pStyle w:val="AD"/>
        <w:spacing w:line="276" w:lineRule="auto"/>
      </w:pPr>
      <w:r>
        <w:rPr>
          <w:rFonts w:hint="eastAsia"/>
        </w:rPr>
        <w:t xml:space="preserve">　　（十一）加大对违法失信企业的约束惩戒。明确市场监管部门失信惩戒措施，依法依规对违法失信企业实施约束惩戒。完善共享应用机制，将经营异常名录、严重违法失信名单等信息嵌入重点领域审批、监管业务系统，并主动向其他监管部门推送，依法依规实施联合惩戒。加大信用信息公示力度，依托公示系统，对重点领域屡禁不止、</w:t>
      </w:r>
      <w:proofErr w:type="gramStart"/>
      <w:r>
        <w:rPr>
          <w:rFonts w:hint="eastAsia"/>
        </w:rPr>
        <w:t>屡罚不改</w:t>
      </w:r>
      <w:proofErr w:type="gramEnd"/>
      <w:r>
        <w:rPr>
          <w:rFonts w:hint="eastAsia"/>
        </w:rPr>
        <w:t>以及严重违法失信的企业，实施集中公示、重点曝光。</w:t>
      </w:r>
    </w:p>
    <w:p w14:paraId="167DDE70" w14:textId="77777777" w:rsidR="00C666C7" w:rsidRDefault="00C666C7" w:rsidP="00CD6679">
      <w:pPr>
        <w:pStyle w:val="AD"/>
        <w:spacing w:line="276" w:lineRule="auto"/>
      </w:pPr>
    </w:p>
    <w:p w14:paraId="75CB2A1A" w14:textId="77777777" w:rsidR="00C666C7" w:rsidRDefault="00C666C7" w:rsidP="00CD6679">
      <w:pPr>
        <w:pStyle w:val="AD"/>
        <w:spacing w:line="276" w:lineRule="auto"/>
      </w:pPr>
      <w:r>
        <w:rPr>
          <w:rFonts w:hint="eastAsia"/>
        </w:rPr>
        <w:t xml:space="preserve">　　（十二）依法依规实施信用修复。完善重点领域企业信用修复机制，明确信用修复程序，引导企业主动纠正失信行为，承担主体责任。对存在违法情节较重、多次违法失信等情形的企业，严格适用信用修复条件，提高信用修复门槛，加大失信约束力度。</w:t>
      </w:r>
    </w:p>
    <w:p w14:paraId="0E1B2939" w14:textId="77777777" w:rsidR="00C666C7" w:rsidRDefault="00C666C7" w:rsidP="00CD6679">
      <w:pPr>
        <w:pStyle w:val="AD"/>
        <w:spacing w:line="276" w:lineRule="auto"/>
      </w:pPr>
    </w:p>
    <w:p w14:paraId="43093A43" w14:textId="77777777" w:rsidR="00C666C7" w:rsidRDefault="00C666C7" w:rsidP="00CD6679">
      <w:pPr>
        <w:pStyle w:val="AD"/>
        <w:spacing w:line="276" w:lineRule="auto"/>
      </w:pPr>
      <w:r>
        <w:rPr>
          <w:rFonts w:hint="eastAsia"/>
        </w:rPr>
        <w:t xml:space="preserve">　　五、运用市场力量助推监管，发挥信用导向作用</w:t>
      </w:r>
    </w:p>
    <w:p w14:paraId="540CEBEA" w14:textId="77777777" w:rsidR="00C666C7" w:rsidRDefault="00C666C7" w:rsidP="00CD6679">
      <w:pPr>
        <w:pStyle w:val="AD"/>
        <w:spacing w:line="276" w:lineRule="auto"/>
      </w:pPr>
    </w:p>
    <w:p w14:paraId="0EC3461B" w14:textId="77777777" w:rsidR="00C666C7" w:rsidRDefault="00C666C7" w:rsidP="00CD6679">
      <w:pPr>
        <w:pStyle w:val="AD"/>
        <w:spacing w:line="276" w:lineRule="auto"/>
      </w:pPr>
      <w:r>
        <w:rPr>
          <w:rFonts w:hint="eastAsia"/>
        </w:rPr>
        <w:t xml:space="preserve">　　（十三）加强信息共享应用。加大重点领域企业信息的开放共享力度，探索公示系统相关数据向省级市场监管部门开放。探索重点领域数据产品和数据服务市场化应用，不断拓展应用场景。加强信用信息深度开发利用，引导消费者和企业合作方根据企业信用程度评估消费风险、商业合作风险，切实用市场力量约束企业违法行为。</w:t>
      </w:r>
    </w:p>
    <w:p w14:paraId="746521F8" w14:textId="77777777" w:rsidR="00C666C7" w:rsidRDefault="00C666C7" w:rsidP="00CD6679">
      <w:pPr>
        <w:pStyle w:val="AD"/>
        <w:spacing w:line="276" w:lineRule="auto"/>
      </w:pPr>
    </w:p>
    <w:p w14:paraId="66D50EB8" w14:textId="77777777" w:rsidR="00C666C7" w:rsidRDefault="00C666C7" w:rsidP="00CD6679">
      <w:pPr>
        <w:pStyle w:val="AD"/>
        <w:spacing w:line="276" w:lineRule="auto"/>
      </w:pPr>
      <w:r>
        <w:rPr>
          <w:rFonts w:hint="eastAsia"/>
        </w:rPr>
        <w:t xml:space="preserve">　　（十四）发挥市场和社会力量。在重点领域弘扬诚信理念，充分应用新媒体等多种方式，加强诚信理念的宣传和推广。适时发布严重失信典型案例，加大违法失信行为的曝光力度，引导公众加强对相关企业的社会监督。加强对行业组织的指导，发挥行业信用管理作用。</w:t>
      </w:r>
    </w:p>
    <w:p w14:paraId="16A28AC7" w14:textId="77777777" w:rsidR="00C666C7" w:rsidRDefault="00C666C7" w:rsidP="00CD6679">
      <w:pPr>
        <w:pStyle w:val="AD"/>
        <w:spacing w:line="276" w:lineRule="auto"/>
      </w:pPr>
    </w:p>
    <w:p w14:paraId="74B2B747" w14:textId="77777777" w:rsidR="00C666C7" w:rsidRDefault="00C666C7" w:rsidP="00CD6679">
      <w:pPr>
        <w:pStyle w:val="AD"/>
        <w:spacing w:line="276" w:lineRule="auto"/>
      </w:pPr>
      <w:r>
        <w:rPr>
          <w:rFonts w:hint="eastAsia"/>
        </w:rPr>
        <w:t xml:space="preserve">　　六、组织保障</w:t>
      </w:r>
    </w:p>
    <w:p w14:paraId="072E0779" w14:textId="77777777" w:rsidR="00C666C7" w:rsidRDefault="00C666C7" w:rsidP="00CD6679">
      <w:pPr>
        <w:pStyle w:val="AD"/>
        <w:spacing w:line="276" w:lineRule="auto"/>
      </w:pPr>
    </w:p>
    <w:p w14:paraId="0BE156FF" w14:textId="77777777" w:rsidR="00C666C7" w:rsidRDefault="00C666C7" w:rsidP="00CD6679">
      <w:pPr>
        <w:pStyle w:val="AD"/>
        <w:spacing w:line="276" w:lineRule="auto"/>
      </w:pPr>
      <w:r>
        <w:rPr>
          <w:rFonts w:hint="eastAsia"/>
        </w:rPr>
        <w:t xml:space="preserve">　　（十五）加强组织领导。各级市场监管部门要深刻认识推进重点领域信用监管的重要意义，健全领导和协调工作机制，加强组织保障。要制定具体工作方案，精心组织，周密实施，以业务职能的有机融合促进重点领域信用监管工作。</w:t>
      </w:r>
    </w:p>
    <w:p w14:paraId="5ED3244A" w14:textId="77777777" w:rsidR="00C666C7" w:rsidRDefault="00C666C7" w:rsidP="00CD6679">
      <w:pPr>
        <w:pStyle w:val="AD"/>
        <w:spacing w:line="276" w:lineRule="auto"/>
      </w:pPr>
    </w:p>
    <w:p w14:paraId="652418CD" w14:textId="77777777" w:rsidR="00C666C7" w:rsidRDefault="00C666C7" w:rsidP="00CD6679">
      <w:pPr>
        <w:pStyle w:val="AD"/>
        <w:spacing w:line="276" w:lineRule="auto"/>
      </w:pPr>
      <w:r>
        <w:rPr>
          <w:rFonts w:hint="eastAsia"/>
        </w:rPr>
        <w:t xml:space="preserve">　　（十六）严格落实责任。市场监管部门各相关机构要各司其职，把重点领域信用监管作为当前工作重点，扎实推进各项工作任务落地落实。信用监管机构要做好统筹协调工作，完善相</w:t>
      </w:r>
      <w:r>
        <w:rPr>
          <w:rFonts w:hint="eastAsia"/>
        </w:rPr>
        <w:lastRenderedPageBreak/>
        <w:t>关制度规范；重点领域监管机构要切实履行主体责任，加快推进主管行业、领域的信用监管工作；信息化管理机构要为企业信息归集、公示、应用和系统建设等提供技术支撑，制定统一技术标准和规范。</w:t>
      </w:r>
    </w:p>
    <w:p w14:paraId="34D85C38" w14:textId="77777777" w:rsidR="00C666C7" w:rsidRDefault="00C666C7" w:rsidP="00CD6679">
      <w:pPr>
        <w:pStyle w:val="AD"/>
        <w:spacing w:line="276" w:lineRule="auto"/>
      </w:pPr>
    </w:p>
    <w:p w14:paraId="6B56B1D3" w14:textId="77777777" w:rsidR="00C666C7" w:rsidRDefault="00C666C7" w:rsidP="00CD6679">
      <w:pPr>
        <w:pStyle w:val="AD"/>
        <w:spacing w:line="276" w:lineRule="auto"/>
      </w:pPr>
      <w:r>
        <w:rPr>
          <w:rFonts w:hint="eastAsia"/>
        </w:rPr>
        <w:t xml:space="preserve">　　（十七）加强信息化建设。做好公示系统改造工作，支撑重点领域企业信息的归集、公示和应用。公示系统改造技术方案将由总局信息化管理机构、信用监管机构另行印发。加强公示系统上下贯通，实现各类数据的有序归集和传输。推动重点领域各业务系统与公示系统的互联互通，实现重点领域行政许可、监管执法等信息及时归集并记于企业名下。</w:t>
      </w:r>
    </w:p>
    <w:p w14:paraId="6CA40F9F" w14:textId="714D2233" w:rsidR="00C666C7" w:rsidRDefault="00C666C7" w:rsidP="00CD6679">
      <w:pPr>
        <w:pStyle w:val="AD"/>
        <w:spacing w:line="276" w:lineRule="auto"/>
      </w:pPr>
    </w:p>
    <w:p w14:paraId="6CF83B46" w14:textId="77777777" w:rsidR="00C666C7" w:rsidRDefault="00C666C7" w:rsidP="00CD6679">
      <w:pPr>
        <w:pStyle w:val="AD"/>
        <w:spacing w:line="276" w:lineRule="auto"/>
      </w:pPr>
    </w:p>
    <w:p w14:paraId="0A06D7A8" w14:textId="4972478C" w:rsidR="00C666C7" w:rsidRDefault="008A69D2" w:rsidP="00CD6679">
      <w:pPr>
        <w:pStyle w:val="AD"/>
        <w:spacing w:line="276" w:lineRule="auto"/>
      </w:pPr>
      <w:r>
        <w:rPr>
          <w:rFonts w:hint="eastAsia"/>
        </w:rPr>
        <w:t xml:space="preserve">　　</w:t>
      </w:r>
      <w:r w:rsidR="00C666C7">
        <w:rPr>
          <w:rFonts w:hint="eastAsia"/>
        </w:rPr>
        <w:t>附件：</w:t>
      </w:r>
      <w:r w:rsidR="00C666C7">
        <w:rPr>
          <w:rFonts w:hint="eastAsia"/>
        </w:rPr>
        <w:t xml:space="preserve">1. </w:t>
      </w:r>
      <w:r w:rsidR="00C666C7">
        <w:rPr>
          <w:rFonts w:hint="eastAsia"/>
        </w:rPr>
        <w:t>市场监管重点领域企业类型清单（第一版）</w:t>
      </w:r>
    </w:p>
    <w:p w14:paraId="12FDF5AD" w14:textId="04166A21" w:rsidR="00B15193" w:rsidRDefault="00C666C7" w:rsidP="00CD6679">
      <w:pPr>
        <w:pStyle w:val="AD"/>
        <w:spacing w:line="276" w:lineRule="auto"/>
      </w:pPr>
      <w:r>
        <w:rPr>
          <w:rFonts w:hint="eastAsia"/>
        </w:rPr>
        <w:t xml:space="preserve">　　</w:t>
      </w:r>
      <w:r w:rsidR="008A69D2">
        <w:rPr>
          <w:rFonts w:hint="eastAsia"/>
        </w:rPr>
        <w:t xml:space="preserve">　　　</w:t>
      </w:r>
      <w:r>
        <w:rPr>
          <w:rFonts w:hint="eastAsia"/>
        </w:rPr>
        <w:t xml:space="preserve">2. </w:t>
      </w:r>
      <w:r>
        <w:rPr>
          <w:rFonts w:hint="eastAsia"/>
        </w:rPr>
        <w:t>市场监管重点领域企业信息归集公示事项清单（第一版）</w:t>
      </w:r>
    </w:p>
    <w:p w14:paraId="6AF2140E" w14:textId="216F4AAA" w:rsidR="00323CEE" w:rsidRDefault="00323CEE" w:rsidP="00CD6679">
      <w:pPr>
        <w:pStyle w:val="AD"/>
        <w:spacing w:line="276" w:lineRule="auto"/>
      </w:pPr>
    </w:p>
    <w:p w14:paraId="45901707" w14:textId="77777777" w:rsidR="00323CEE" w:rsidRDefault="00323CEE" w:rsidP="00CD6679">
      <w:pPr>
        <w:pStyle w:val="AD"/>
        <w:spacing w:line="276" w:lineRule="auto"/>
        <w:rPr>
          <w:rFonts w:hint="eastAsia"/>
        </w:rPr>
      </w:pPr>
    </w:p>
    <w:p w14:paraId="48A442B3" w14:textId="2D9DFB87" w:rsidR="00323CEE" w:rsidRDefault="00323CEE" w:rsidP="00CD6679">
      <w:pPr>
        <w:pStyle w:val="AD"/>
        <w:spacing w:line="276" w:lineRule="auto"/>
        <w:rPr>
          <w:rStyle w:val="a7"/>
        </w:rPr>
      </w:pPr>
      <w:r>
        <w:rPr>
          <w:rFonts w:hint="eastAsia"/>
        </w:rPr>
        <w:t>信息来源：</w:t>
      </w:r>
      <w:hyperlink r:id="rId6" w:history="1">
        <w:r w:rsidRPr="00C13E0C">
          <w:rPr>
            <w:rStyle w:val="a7"/>
          </w:rPr>
          <w:t>http://gkml.samr.gov.cn/nsjg/xyjgs/202106/t20210608_330344.html</w:t>
        </w:r>
      </w:hyperlink>
    </w:p>
    <w:p w14:paraId="20C73F04" w14:textId="77777777" w:rsidR="00323CEE" w:rsidRDefault="00323CEE" w:rsidP="00CD6679">
      <w:pPr>
        <w:pStyle w:val="AD"/>
        <w:spacing w:line="276" w:lineRule="auto"/>
        <w:rPr>
          <w:rFonts w:hint="eastAsia"/>
        </w:rPr>
      </w:pPr>
    </w:p>
    <w:p w14:paraId="5FB159CB" w14:textId="37225251" w:rsidR="00246829" w:rsidRDefault="00246829" w:rsidP="00CD6679">
      <w:pPr>
        <w:pStyle w:val="a9"/>
        <w:shd w:val="clear" w:color="auto" w:fill="FFFFFF"/>
        <w:spacing w:before="0" w:beforeAutospacing="0" w:after="0" w:afterAutospacing="0" w:line="276" w:lineRule="auto"/>
        <w:jc w:val="center"/>
        <w:rPr>
          <w:color w:val="333333"/>
        </w:rPr>
      </w:pPr>
      <w:r>
        <w:rPr>
          <w:noProof/>
          <w:color w:val="333333"/>
        </w:rPr>
        <w:lastRenderedPageBreak/>
        <w:drawing>
          <wp:inline distT="0" distB="0" distL="0" distR="0" wp14:anchorId="44A21635" wp14:editId="756FC793">
            <wp:extent cx="5759450" cy="81438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193AC221" wp14:editId="3A6EA8B3">
            <wp:extent cx="5759450" cy="81438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7E361B6A" wp14:editId="40CA63DF">
            <wp:extent cx="5759450" cy="81438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7CC6B0E2" wp14:editId="5C48A82E">
            <wp:extent cx="5759450" cy="81438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6D7CC636" wp14:editId="16E17F9C">
            <wp:extent cx="5759450" cy="8143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66CCE60C" wp14:editId="165BD331">
            <wp:extent cx="5759450" cy="81438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5DA251DE" wp14:editId="507B5F36">
            <wp:extent cx="5759450" cy="8143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372BA6FD" wp14:editId="5620FB79">
            <wp:extent cx="5759450" cy="8143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20B1FC9F" wp14:editId="1497B795">
            <wp:extent cx="5759450" cy="8143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673528E4" wp14:editId="7B49D0AF">
            <wp:extent cx="5759450" cy="8143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7D6E9774" wp14:editId="32660FEA">
            <wp:extent cx="5759450" cy="8143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16B53B2C" wp14:editId="502EB794">
            <wp:extent cx="5759450" cy="8143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41ABCE8B" wp14:editId="086BD81D">
            <wp:extent cx="5759450" cy="81438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r>
        <w:rPr>
          <w:noProof/>
          <w:color w:val="333333"/>
        </w:rPr>
        <w:lastRenderedPageBreak/>
        <w:drawing>
          <wp:inline distT="0" distB="0" distL="0" distR="0" wp14:anchorId="771F6FE0" wp14:editId="070B6D5D">
            <wp:extent cx="5759450" cy="8143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143875"/>
                    </a:xfrm>
                    <a:prstGeom prst="rect">
                      <a:avLst/>
                    </a:prstGeom>
                    <a:noFill/>
                    <a:ln>
                      <a:noFill/>
                    </a:ln>
                  </pic:spPr>
                </pic:pic>
              </a:graphicData>
            </a:graphic>
          </wp:inline>
        </w:drawing>
      </w:r>
    </w:p>
    <w:p w14:paraId="27EB73AF" w14:textId="77777777" w:rsidR="00C666C7" w:rsidRPr="00C666C7" w:rsidRDefault="00C666C7" w:rsidP="00CD6679">
      <w:pPr>
        <w:pStyle w:val="AD"/>
        <w:spacing w:line="276" w:lineRule="auto"/>
      </w:pPr>
    </w:p>
    <w:sectPr w:rsidR="00C666C7" w:rsidRPr="00C666C7" w:rsidSect="005F7C76">
      <w:pgSz w:w="11906" w:h="16838" w:code="9"/>
      <w:pgMar w:top="1418" w:right="1418" w:bottom="1134" w:left="1418" w:header="720"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E561F" w14:textId="77777777" w:rsidR="003A3A9E" w:rsidRDefault="003A3A9E" w:rsidP="00C20A6A">
      <w:pPr>
        <w:spacing w:line="240" w:lineRule="auto"/>
      </w:pPr>
      <w:r>
        <w:separator/>
      </w:r>
    </w:p>
  </w:endnote>
  <w:endnote w:type="continuationSeparator" w:id="0">
    <w:p w14:paraId="747742FA" w14:textId="77777777" w:rsidR="003A3A9E" w:rsidRDefault="003A3A9E" w:rsidP="00C20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A3E51" w14:textId="77777777" w:rsidR="003A3A9E" w:rsidRDefault="003A3A9E" w:rsidP="00C20A6A">
      <w:pPr>
        <w:spacing w:line="240" w:lineRule="auto"/>
      </w:pPr>
      <w:r>
        <w:separator/>
      </w:r>
    </w:p>
  </w:footnote>
  <w:footnote w:type="continuationSeparator" w:id="0">
    <w:p w14:paraId="736247B7" w14:textId="77777777" w:rsidR="003A3A9E" w:rsidRDefault="003A3A9E" w:rsidP="00C20A6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B567C"/>
    <w:rsid w:val="000F4C6A"/>
    <w:rsid w:val="00176A25"/>
    <w:rsid w:val="001C4C6F"/>
    <w:rsid w:val="00246829"/>
    <w:rsid w:val="00311C6E"/>
    <w:rsid w:val="00323CEE"/>
    <w:rsid w:val="003A3A9E"/>
    <w:rsid w:val="003D27E2"/>
    <w:rsid w:val="003F3D49"/>
    <w:rsid w:val="005F7C76"/>
    <w:rsid w:val="00635267"/>
    <w:rsid w:val="007D7BDB"/>
    <w:rsid w:val="008A69D2"/>
    <w:rsid w:val="00A548E7"/>
    <w:rsid w:val="00B15193"/>
    <w:rsid w:val="00B731F1"/>
    <w:rsid w:val="00C20A6A"/>
    <w:rsid w:val="00C22624"/>
    <w:rsid w:val="00C666C7"/>
    <w:rsid w:val="00CD6679"/>
    <w:rsid w:val="00D02718"/>
    <w:rsid w:val="00DB1B49"/>
    <w:rsid w:val="00EB56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31BE1"/>
  <w15:chartTrackingRefBased/>
  <w15:docId w15:val="{1C0BC98E-833F-42B7-AD3C-5EC4E136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624"/>
    <w:pPr>
      <w:widowControl w:val="0"/>
      <w:overflowPunct w:val="0"/>
      <w:spacing w:line="280" w:lineRule="atLeast"/>
      <w:jc w:val="both"/>
    </w:pPr>
    <w:rPr>
      <w:rFonts w:ascii="Arial" w:eastAsia="宋体"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
    <w:name w:val="AD"/>
    <w:basedOn w:val="a"/>
    <w:rsid w:val="00176A25"/>
  </w:style>
  <w:style w:type="paragraph" w:customStyle="1" w:styleId="AX">
    <w:name w:val="AX"/>
    <w:basedOn w:val="a"/>
    <w:rsid w:val="00176A25"/>
    <w:pPr>
      <w:ind w:hangingChars="405" w:hanging="405"/>
    </w:pPr>
  </w:style>
  <w:style w:type="paragraph" w:customStyle="1" w:styleId="AY">
    <w:name w:val="AY"/>
    <w:basedOn w:val="a"/>
    <w:rsid w:val="00176A25"/>
    <w:pPr>
      <w:ind w:left="851"/>
    </w:pPr>
  </w:style>
  <w:style w:type="paragraph" w:customStyle="1" w:styleId="BX">
    <w:name w:val="BX"/>
    <w:basedOn w:val="a"/>
    <w:rsid w:val="00176A25"/>
    <w:pPr>
      <w:ind w:left="1702" w:hanging="851"/>
    </w:pPr>
  </w:style>
  <w:style w:type="paragraph" w:customStyle="1" w:styleId="BY">
    <w:name w:val="BY"/>
    <w:basedOn w:val="a"/>
    <w:rsid w:val="00176A25"/>
    <w:pPr>
      <w:ind w:left="1701"/>
    </w:pPr>
  </w:style>
  <w:style w:type="paragraph" w:customStyle="1" w:styleId="CX">
    <w:name w:val="CX"/>
    <w:basedOn w:val="a"/>
    <w:rsid w:val="00176A25"/>
    <w:pPr>
      <w:ind w:left="2552" w:hanging="851"/>
    </w:pPr>
  </w:style>
  <w:style w:type="paragraph" w:customStyle="1" w:styleId="CY">
    <w:name w:val="CY"/>
    <w:basedOn w:val="a"/>
    <w:rsid w:val="00176A25"/>
    <w:pPr>
      <w:ind w:left="2552"/>
    </w:pPr>
  </w:style>
  <w:style w:type="paragraph" w:customStyle="1" w:styleId="DX">
    <w:name w:val="DX"/>
    <w:basedOn w:val="a"/>
    <w:rsid w:val="00176A25"/>
    <w:pPr>
      <w:ind w:left="3403" w:hanging="851"/>
    </w:pPr>
  </w:style>
  <w:style w:type="paragraph" w:customStyle="1" w:styleId="DY">
    <w:name w:val="DY"/>
    <w:basedOn w:val="a"/>
    <w:rsid w:val="00176A25"/>
    <w:pPr>
      <w:ind w:left="3402"/>
    </w:pPr>
  </w:style>
  <w:style w:type="paragraph" w:customStyle="1" w:styleId="H1">
    <w:name w:val="H1"/>
    <w:basedOn w:val="a"/>
    <w:next w:val="a"/>
    <w:rsid w:val="000F4C6A"/>
    <w:pPr>
      <w:keepNext/>
      <w:keepLines/>
      <w:ind w:hangingChars="405" w:hanging="896"/>
      <w:jc w:val="left"/>
      <w:outlineLvl w:val="0"/>
    </w:pPr>
    <w:rPr>
      <w:b/>
    </w:rPr>
  </w:style>
  <w:style w:type="paragraph" w:customStyle="1" w:styleId="H2">
    <w:name w:val="H2"/>
    <w:basedOn w:val="a"/>
    <w:next w:val="a"/>
    <w:link w:val="H2Char"/>
    <w:rsid w:val="001C4C6F"/>
    <w:pPr>
      <w:keepNext/>
      <w:keepLines/>
      <w:ind w:left="1702" w:hanging="851"/>
      <w:jc w:val="left"/>
      <w:outlineLvl w:val="1"/>
    </w:pPr>
    <w:rPr>
      <w:b/>
    </w:rPr>
  </w:style>
  <w:style w:type="paragraph" w:customStyle="1" w:styleId="H3">
    <w:name w:val="H3"/>
    <w:basedOn w:val="a"/>
    <w:next w:val="a"/>
    <w:link w:val="H3Char"/>
    <w:rsid w:val="001C4C6F"/>
    <w:pPr>
      <w:keepNext/>
      <w:keepLines/>
      <w:ind w:left="2552" w:hanging="851"/>
      <w:jc w:val="left"/>
      <w:outlineLvl w:val="2"/>
    </w:pPr>
    <w:rPr>
      <w:b/>
    </w:rPr>
  </w:style>
  <w:style w:type="paragraph" w:customStyle="1" w:styleId="H4">
    <w:name w:val="H4"/>
    <w:basedOn w:val="a"/>
    <w:next w:val="a"/>
    <w:link w:val="H4Char"/>
    <w:rsid w:val="001C4C6F"/>
    <w:pPr>
      <w:keepNext/>
      <w:keepLines/>
      <w:ind w:left="3403" w:hanging="851"/>
      <w:jc w:val="left"/>
      <w:outlineLvl w:val="3"/>
    </w:pPr>
    <w:rPr>
      <w:b/>
    </w:rPr>
  </w:style>
  <w:style w:type="paragraph" w:customStyle="1" w:styleId="H5">
    <w:name w:val="H5"/>
    <w:basedOn w:val="a"/>
    <w:next w:val="a"/>
    <w:rsid w:val="001C4C6F"/>
    <w:pPr>
      <w:keepNext/>
      <w:keepLines/>
      <w:ind w:left="4253" w:hanging="851"/>
      <w:jc w:val="left"/>
      <w:outlineLvl w:val="4"/>
    </w:pPr>
    <w:rPr>
      <w:b/>
    </w:rPr>
  </w:style>
  <w:style w:type="paragraph" w:customStyle="1" w:styleId="H1M">
    <w:name w:val="H1_M"/>
    <w:basedOn w:val="a"/>
    <w:next w:val="a"/>
    <w:rsid w:val="000F4C6A"/>
    <w:pPr>
      <w:keepNext/>
      <w:keepLines/>
      <w:ind w:hangingChars="405" w:hanging="403"/>
      <w:jc w:val="center"/>
      <w:outlineLvl w:val="0"/>
    </w:pPr>
    <w:rPr>
      <w:b/>
    </w:rPr>
  </w:style>
  <w:style w:type="character" w:customStyle="1" w:styleId="H2Char">
    <w:name w:val="H2 Char"/>
    <w:basedOn w:val="a0"/>
    <w:link w:val="H2"/>
    <w:rsid w:val="001C4C6F"/>
    <w:rPr>
      <w:rFonts w:ascii="Arial" w:eastAsia="宋体" w:hAnsi="Arial"/>
      <w:b/>
      <w:sz w:val="22"/>
    </w:rPr>
  </w:style>
  <w:style w:type="character" w:customStyle="1" w:styleId="H3Char">
    <w:name w:val="H3 Char"/>
    <w:basedOn w:val="a0"/>
    <w:link w:val="H3"/>
    <w:rsid w:val="001C4C6F"/>
    <w:rPr>
      <w:rFonts w:ascii="Arial" w:eastAsia="宋体" w:hAnsi="Arial"/>
      <w:b/>
      <w:sz w:val="22"/>
    </w:rPr>
  </w:style>
  <w:style w:type="character" w:customStyle="1" w:styleId="H4Char">
    <w:name w:val="H4 Char"/>
    <w:basedOn w:val="a0"/>
    <w:link w:val="H4"/>
    <w:rsid w:val="001C4C6F"/>
    <w:rPr>
      <w:rFonts w:ascii="Arial" w:eastAsia="宋体" w:hAnsi="Arial"/>
      <w:b/>
      <w:sz w:val="22"/>
    </w:rPr>
  </w:style>
  <w:style w:type="paragraph" w:styleId="a3">
    <w:name w:val="header"/>
    <w:basedOn w:val="a"/>
    <w:link w:val="a4"/>
    <w:uiPriority w:val="99"/>
    <w:unhideWhenUsed/>
    <w:rsid w:val="00C20A6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C20A6A"/>
    <w:rPr>
      <w:rFonts w:ascii="Arial" w:eastAsia="宋体" w:hAnsi="Arial"/>
      <w:sz w:val="18"/>
      <w:szCs w:val="18"/>
    </w:rPr>
  </w:style>
  <w:style w:type="paragraph" w:styleId="a5">
    <w:name w:val="footer"/>
    <w:basedOn w:val="a"/>
    <w:link w:val="a6"/>
    <w:uiPriority w:val="99"/>
    <w:unhideWhenUsed/>
    <w:rsid w:val="00C20A6A"/>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C20A6A"/>
    <w:rPr>
      <w:rFonts w:ascii="Arial" w:eastAsia="宋体" w:hAnsi="Arial"/>
      <w:sz w:val="18"/>
      <w:szCs w:val="18"/>
    </w:rPr>
  </w:style>
  <w:style w:type="character" w:styleId="a7">
    <w:name w:val="Hyperlink"/>
    <w:basedOn w:val="a0"/>
    <w:uiPriority w:val="99"/>
    <w:unhideWhenUsed/>
    <w:rsid w:val="00C666C7"/>
    <w:rPr>
      <w:color w:val="0000FF" w:themeColor="hyperlink"/>
      <w:u w:val="single"/>
    </w:rPr>
  </w:style>
  <w:style w:type="character" w:styleId="a8">
    <w:name w:val="Unresolved Mention"/>
    <w:basedOn w:val="a0"/>
    <w:uiPriority w:val="99"/>
    <w:semiHidden/>
    <w:unhideWhenUsed/>
    <w:rsid w:val="00C666C7"/>
    <w:rPr>
      <w:color w:val="605E5C"/>
      <w:shd w:val="clear" w:color="auto" w:fill="E1DFDD"/>
    </w:rPr>
  </w:style>
  <w:style w:type="paragraph" w:styleId="a9">
    <w:name w:val="Normal (Web)"/>
    <w:basedOn w:val="a"/>
    <w:uiPriority w:val="99"/>
    <w:semiHidden/>
    <w:unhideWhenUsed/>
    <w:rsid w:val="00246829"/>
    <w:pPr>
      <w:widowControl/>
      <w:overflowPunct/>
      <w:spacing w:before="100" w:beforeAutospacing="1" w:after="100" w:afterAutospacing="1" w:line="240" w:lineRule="auto"/>
      <w:jc w:val="left"/>
    </w:pPr>
    <w:rPr>
      <w:rFonts w:ascii="宋体" w:hAnsi="宋体" w:cs="宋体"/>
      <w:kern w:val="0"/>
      <w:sz w:val="24"/>
      <w:szCs w:val="24"/>
    </w:rPr>
  </w:style>
  <w:style w:type="character" w:styleId="aa">
    <w:name w:val="FollowedHyperlink"/>
    <w:basedOn w:val="a0"/>
    <w:uiPriority w:val="99"/>
    <w:semiHidden/>
    <w:unhideWhenUsed/>
    <w:rsid w:val="00323C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0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gkml.samr.gov.cn/nsjg/xyjgs/202106/t20210608_330344.html"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518</Words>
  <Characters>2959</Characters>
  <Application>Microsoft Office Word</Application>
  <DocSecurity>0</DocSecurity>
  <Lines>24</Lines>
  <Paragraphs>6</Paragraphs>
  <ScaleCrop>false</ScaleCrop>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HHP</dc:creator>
  <cp:keywords/>
  <dc:description/>
  <cp:lastModifiedBy>Yanlu Shen</cp:lastModifiedBy>
  <cp:revision>8</cp:revision>
  <dcterms:created xsi:type="dcterms:W3CDTF">2021-06-10T04:50:00Z</dcterms:created>
  <dcterms:modified xsi:type="dcterms:W3CDTF">2021-06-11T03:10:00Z</dcterms:modified>
</cp:coreProperties>
</file>