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621F" w14:textId="77777777" w:rsidR="00D40179" w:rsidRPr="001C2B98" w:rsidRDefault="00D40179" w:rsidP="00BE225E">
      <w:pPr>
        <w:pStyle w:val="AD"/>
        <w:spacing w:line="276" w:lineRule="auto"/>
        <w:jc w:val="center"/>
        <w:rPr>
          <w:b/>
          <w:bCs/>
          <w:color w:val="E36C0A" w:themeColor="accent6" w:themeShade="BF"/>
          <w:sz w:val="32"/>
          <w:szCs w:val="32"/>
        </w:rPr>
      </w:pPr>
      <w:r w:rsidRPr="001C2B98">
        <w:rPr>
          <w:rFonts w:hint="eastAsia"/>
          <w:b/>
          <w:bCs/>
          <w:color w:val="E36C0A" w:themeColor="accent6" w:themeShade="BF"/>
          <w:sz w:val="32"/>
          <w:szCs w:val="32"/>
        </w:rPr>
        <w:t>关于将国有土地使用权出让收入、矿产资源专项收入、海域使用金、无居民海岛使用金四项政府非税收入划转税务部门征收有关问题的通知</w:t>
      </w:r>
    </w:p>
    <w:p w14:paraId="0170288B" w14:textId="77777777" w:rsidR="00D40179" w:rsidRDefault="00D40179" w:rsidP="00BE225E">
      <w:pPr>
        <w:pStyle w:val="AD"/>
        <w:spacing w:line="276" w:lineRule="auto"/>
        <w:jc w:val="center"/>
      </w:pPr>
      <w:r>
        <w:rPr>
          <w:rFonts w:hint="eastAsia"/>
        </w:rPr>
        <w:t>财综〔</w:t>
      </w:r>
      <w:r>
        <w:rPr>
          <w:rFonts w:hint="eastAsia"/>
        </w:rPr>
        <w:t>2021</w:t>
      </w:r>
      <w:r>
        <w:rPr>
          <w:rFonts w:hint="eastAsia"/>
        </w:rPr>
        <w:t>〕</w:t>
      </w:r>
      <w:r>
        <w:rPr>
          <w:rFonts w:hint="eastAsia"/>
        </w:rPr>
        <w:t>19</w:t>
      </w:r>
      <w:r>
        <w:rPr>
          <w:rFonts w:hint="eastAsia"/>
        </w:rPr>
        <w:t>号</w:t>
      </w:r>
    </w:p>
    <w:p w14:paraId="46D0087B" w14:textId="77777777" w:rsidR="00D40179" w:rsidRDefault="00D40179" w:rsidP="00BE225E">
      <w:pPr>
        <w:pStyle w:val="AD"/>
        <w:spacing w:line="276" w:lineRule="auto"/>
      </w:pPr>
    </w:p>
    <w:p w14:paraId="35E22210" w14:textId="77777777" w:rsidR="00D40179" w:rsidRDefault="00D40179" w:rsidP="00BE225E">
      <w:pPr>
        <w:pStyle w:val="AD"/>
        <w:spacing w:line="276" w:lineRule="auto"/>
      </w:pPr>
      <w:r>
        <w:rPr>
          <w:rFonts w:hint="eastAsia"/>
        </w:rPr>
        <w:t>各省、自治区、直辖市、计划单列市财政厅（局）、自然资源厅（局），新疆生产建设兵团财政局、自然资源局，国家税务总局各省、自治区、直辖市、计划单列市税务局，中国人民银行上海总部，各分行、营业管理部，各省会（首府）城市中心支行，各副省级城市中心支行：</w:t>
      </w:r>
      <w:r>
        <w:rPr>
          <w:rFonts w:hint="eastAsia"/>
        </w:rPr>
        <w:t xml:space="preserve"> </w:t>
      </w:r>
    </w:p>
    <w:p w14:paraId="3F419AC7" w14:textId="77777777" w:rsidR="00D40179" w:rsidRDefault="00D40179" w:rsidP="00BE225E">
      <w:pPr>
        <w:pStyle w:val="AD"/>
        <w:spacing w:line="276" w:lineRule="auto"/>
      </w:pPr>
    </w:p>
    <w:p w14:paraId="52DB8B66" w14:textId="77777777" w:rsidR="00D40179" w:rsidRDefault="00D40179" w:rsidP="00BE225E">
      <w:pPr>
        <w:pStyle w:val="AD"/>
        <w:spacing w:line="276" w:lineRule="auto"/>
      </w:pPr>
      <w:r>
        <w:rPr>
          <w:rFonts w:hint="eastAsia"/>
        </w:rPr>
        <w:t xml:space="preserve">　　为贯彻落实党中央、国务院关于政府非税收入征管职责划转税务部门的有关部署和要求，决定将国有土地使用权出让收入、矿产资源专项收入、海域使用金、无居民海岛使用金四项政府非税收入统一划转税务部门征收。现就平稳有序推进划转工作有关事项通知如下：</w:t>
      </w:r>
      <w:r>
        <w:rPr>
          <w:rFonts w:hint="eastAsia"/>
        </w:rPr>
        <w:t xml:space="preserve"> </w:t>
      </w:r>
    </w:p>
    <w:p w14:paraId="4B7FB05B" w14:textId="77777777" w:rsidR="00D40179" w:rsidRDefault="00D40179" w:rsidP="00BE225E">
      <w:pPr>
        <w:pStyle w:val="AD"/>
        <w:spacing w:line="276" w:lineRule="auto"/>
      </w:pPr>
    </w:p>
    <w:p w14:paraId="7C9D66E6" w14:textId="77777777" w:rsidR="00D40179" w:rsidRDefault="00D40179" w:rsidP="00BE225E">
      <w:pPr>
        <w:pStyle w:val="AD"/>
        <w:spacing w:line="276" w:lineRule="auto"/>
      </w:pPr>
      <w:r>
        <w:rPr>
          <w:rFonts w:hint="eastAsia"/>
        </w:rPr>
        <w:t xml:space="preserve">　　一、将由自然资源部门负责征收的国有土地使用权出让收入、矿产资源专项收入、海域使用金、无居民海岛使用金四项政府非税收入（以下简称四项政府非税收入），全部划转给税务部门负责征收。自然资源部（本级）按照规定负责征收的矿产资源专项收入、海域使用金、无居民海岛使用金，同步划转税务部门征收。</w:t>
      </w:r>
      <w:r>
        <w:rPr>
          <w:rFonts w:hint="eastAsia"/>
        </w:rPr>
        <w:t xml:space="preserve"> </w:t>
      </w:r>
    </w:p>
    <w:p w14:paraId="3D818F93" w14:textId="77777777" w:rsidR="00D40179" w:rsidRDefault="00D40179" w:rsidP="00BE225E">
      <w:pPr>
        <w:pStyle w:val="AD"/>
        <w:spacing w:line="276" w:lineRule="auto"/>
      </w:pPr>
    </w:p>
    <w:p w14:paraId="2E6DC45C" w14:textId="77777777" w:rsidR="00D40179" w:rsidRDefault="00D40179" w:rsidP="00BE225E">
      <w:pPr>
        <w:pStyle w:val="AD"/>
        <w:spacing w:line="276" w:lineRule="auto"/>
      </w:pPr>
      <w:r>
        <w:rPr>
          <w:rFonts w:hint="eastAsia"/>
        </w:rPr>
        <w:t xml:space="preserve">　　二、先试点后推开。自</w:t>
      </w:r>
      <w:r>
        <w:rPr>
          <w:rFonts w:hint="eastAsia"/>
        </w:rPr>
        <w:t>2021</w:t>
      </w:r>
      <w:r>
        <w:rPr>
          <w:rFonts w:hint="eastAsia"/>
        </w:rPr>
        <w:t>年</w:t>
      </w:r>
      <w:r>
        <w:rPr>
          <w:rFonts w:hint="eastAsia"/>
        </w:rPr>
        <w:t>7</w:t>
      </w:r>
      <w:r>
        <w:rPr>
          <w:rFonts w:hint="eastAsia"/>
        </w:rPr>
        <w:t>月</w:t>
      </w:r>
      <w:r>
        <w:rPr>
          <w:rFonts w:hint="eastAsia"/>
        </w:rPr>
        <w:t>1</w:t>
      </w:r>
      <w:r>
        <w:rPr>
          <w:rFonts w:hint="eastAsia"/>
        </w:rPr>
        <w:t>日起，选择在河北、内蒙古、上海、浙江、安徽、青岛、云南省（自治区、直辖市、计划单列市）以省（区、市）为单位开展征管职责划转试点，探索完善征缴流程、职责分工等，为全面推开划转工作积累经验。暂未开展征管划转试点地区要积极做好四项政府非税收入征收划转准备工作，自</w:t>
      </w:r>
      <w:r>
        <w:rPr>
          <w:rFonts w:hint="eastAsia"/>
        </w:rPr>
        <w:t>2022</w:t>
      </w:r>
      <w:r>
        <w:rPr>
          <w:rFonts w:hint="eastAsia"/>
        </w:rPr>
        <w:t>年</w:t>
      </w:r>
      <w:r>
        <w:rPr>
          <w:rFonts w:hint="eastAsia"/>
        </w:rPr>
        <w:t>1</w:t>
      </w:r>
      <w:r>
        <w:rPr>
          <w:rFonts w:hint="eastAsia"/>
        </w:rPr>
        <w:t>月</w:t>
      </w:r>
      <w:r>
        <w:rPr>
          <w:rFonts w:hint="eastAsia"/>
        </w:rPr>
        <w:t>1</w:t>
      </w:r>
      <w:r>
        <w:rPr>
          <w:rFonts w:hint="eastAsia"/>
        </w:rPr>
        <w:t>日起全面实施征管划转工作。</w:t>
      </w:r>
      <w:r>
        <w:rPr>
          <w:rFonts w:hint="eastAsia"/>
        </w:rPr>
        <w:t xml:space="preserve"> </w:t>
      </w:r>
    </w:p>
    <w:p w14:paraId="4412BB9D" w14:textId="77777777" w:rsidR="00D40179" w:rsidRDefault="00D40179" w:rsidP="00BE225E">
      <w:pPr>
        <w:pStyle w:val="AD"/>
        <w:spacing w:line="276" w:lineRule="auto"/>
      </w:pPr>
    </w:p>
    <w:p w14:paraId="1DB446BC" w14:textId="77777777" w:rsidR="00D40179" w:rsidRDefault="00D40179" w:rsidP="00BE225E">
      <w:pPr>
        <w:pStyle w:val="AD"/>
        <w:spacing w:line="276" w:lineRule="auto"/>
      </w:pPr>
      <w:r>
        <w:rPr>
          <w:rFonts w:hint="eastAsia"/>
        </w:rPr>
        <w:t xml:space="preserve">　　三、四项政府非税收入划转给税务部门征收后，以前年度和今后形成的应缴未缴收入以及按规定分期缴纳的收入，由税务部门负责征缴入库，有关部门应当配合做好相关信息传递和材料交接工作。税务部门应当按照国库集中收缴制度等规定，依法依规开展收入征管工作，确保非税收入及时足额缴入国库。已缴入财政非税专户，但尚未划缴国库的有关资金，由财政部门按非税收入收缴管理制度规定缴入国库。</w:t>
      </w:r>
      <w:r>
        <w:rPr>
          <w:rFonts w:hint="eastAsia"/>
        </w:rPr>
        <w:t xml:space="preserve"> </w:t>
      </w:r>
    </w:p>
    <w:p w14:paraId="280A65D4" w14:textId="77777777" w:rsidR="00D40179" w:rsidRDefault="00D40179" w:rsidP="00BE225E">
      <w:pPr>
        <w:pStyle w:val="AD"/>
        <w:spacing w:line="276" w:lineRule="auto"/>
      </w:pPr>
    </w:p>
    <w:p w14:paraId="31F12D17" w14:textId="77777777" w:rsidR="00D40179" w:rsidRDefault="00D40179" w:rsidP="00BE225E">
      <w:pPr>
        <w:pStyle w:val="AD"/>
        <w:spacing w:line="276" w:lineRule="auto"/>
      </w:pPr>
      <w:r>
        <w:rPr>
          <w:rFonts w:hint="eastAsia"/>
        </w:rPr>
        <w:t xml:space="preserve">　　四、税务部门按照属地原则征收四项政府非税收入。具体征收机关由国家税务总局有关省（自治区、直辖市、计划单列市）税务局按照“便民、高效”原则确定。原由自然资源部（本级）负责征收的矿产资源专项收入、海域使用金、无居民海岛使用金等非税收入，征管职责划转后的具体工作由国家税务总局北京市税务局承担。</w:t>
      </w:r>
      <w:r>
        <w:rPr>
          <w:rFonts w:hint="eastAsia"/>
        </w:rPr>
        <w:t xml:space="preserve"> </w:t>
      </w:r>
    </w:p>
    <w:p w14:paraId="0C5B923E" w14:textId="77777777" w:rsidR="00D40179" w:rsidRDefault="00D40179" w:rsidP="00BE225E">
      <w:pPr>
        <w:pStyle w:val="AD"/>
        <w:spacing w:line="276" w:lineRule="auto"/>
      </w:pPr>
    </w:p>
    <w:p w14:paraId="3006018F" w14:textId="77777777" w:rsidR="00D40179" w:rsidRDefault="00D40179" w:rsidP="00BE225E">
      <w:pPr>
        <w:pStyle w:val="AD"/>
        <w:spacing w:line="276" w:lineRule="auto"/>
      </w:pPr>
      <w:r>
        <w:rPr>
          <w:rFonts w:hint="eastAsia"/>
        </w:rPr>
        <w:t xml:space="preserve">　　五、税务部门应当商财政、自然资源、人民银行等部门逐项确定职责划转后的征缴流程，实现办事缴费“一门、一站、一次”办理，不断提高征管效率，降低征管成本。具体征缴流程</w:t>
      </w:r>
      <w:r>
        <w:rPr>
          <w:rFonts w:hint="eastAsia"/>
        </w:rPr>
        <w:lastRenderedPageBreak/>
        <w:t>可参照本通知附件流程图并结合当地实际研究确定。涉及经费划转的，方案按程序报批。</w:t>
      </w:r>
      <w:r>
        <w:rPr>
          <w:rFonts w:hint="eastAsia"/>
        </w:rPr>
        <w:t xml:space="preserve"> </w:t>
      </w:r>
    </w:p>
    <w:p w14:paraId="717684CB" w14:textId="77777777" w:rsidR="00D40179" w:rsidRDefault="00D40179" w:rsidP="00BE225E">
      <w:pPr>
        <w:pStyle w:val="AD"/>
        <w:spacing w:line="276" w:lineRule="auto"/>
      </w:pPr>
    </w:p>
    <w:p w14:paraId="6AD14246" w14:textId="77777777" w:rsidR="00D40179" w:rsidRDefault="00D40179" w:rsidP="00BE225E">
      <w:pPr>
        <w:pStyle w:val="AD"/>
        <w:spacing w:line="276" w:lineRule="auto"/>
      </w:pPr>
      <w:r>
        <w:rPr>
          <w:rFonts w:hint="eastAsia"/>
        </w:rPr>
        <w:t xml:space="preserve">　　六、税务部门征收四项政府非税收入应当使用财政部统一监（印）制的非税收入票据，按照税务部门全国统一信息化方式规范管理。</w:t>
      </w:r>
      <w:r>
        <w:rPr>
          <w:rFonts w:hint="eastAsia"/>
        </w:rPr>
        <w:t xml:space="preserve"> </w:t>
      </w:r>
    </w:p>
    <w:p w14:paraId="78E8723C" w14:textId="77777777" w:rsidR="00D40179" w:rsidRDefault="00D40179" w:rsidP="00BE225E">
      <w:pPr>
        <w:pStyle w:val="AD"/>
        <w:spacing w:line="276" w:lineRule="auto"/>
      </w:pPr>
    </w:p>
    <w:p w14:paraId="08735CEA" w14:textId="77777777" w:rsidR="00D40179" w:rsidRDefault="00D40179" w:rsidP="00BE225E">
      <w:pPr>
        <w:pStyle w:val="AD"/>
        <w:spacing w:line="276" w:lineRule="auto"/>
      </w:pPr>
      <w:r>
        <w:rPr>
          <w:rFonts w:hint="eastAsia"/>
        </w:rPr>
        <w:t xml:space="preserve">　　七、资金入库后需要办理退库的，应当按照财政部门有关退库管理规定办理。其中，因缴费人误缴、税务部门误收需要退库的，由缴费人向税务部门申请办理，税务部门经严格审核并商有关财政、自然资源部门复核同意后，按规定办理退付手续；其他情形需要退库的，由缴费人向财政部门和自然资源部门申请办理。人民银行国库管理部门按规定办理退付手续。</w:t>
      </w:r>
      <w:r>
        <w:rPr>
          <w:rFonts w:hint="eastAsia"/>
        </w:rPr>
        <w:t xml:space="preserve"> </w:t>
      </w:r>
    </w:p>
    <w:p w14:paraId="4CC02CE3" w14:textId="77777777" w:rsidR="00D40179" w:rsidRDefault="00D40179" w:rsidP="00BE225E">
      <w:pPr>
        <w:pStyle w:val="AD"/>
        <w:spacing w:line="276" w:lineRule="auto"/>
      </w:pPr>
    </w:p>
    <w:p w14:paraId="0386DCEE" w14:textId="77777777" w:rsidR="00D40179" w:rsidRDefault="00D40179" w:rsidP="00BE225E">
      <w:pPr>
        <w:pStyle w:val="AD"/>
        <w:spacing w:line="276" w:lineRule="auto"/>
      </w:pPr>
      <w:r>
        <w:rPr>
          <w:rFonts w:hint="eastAsia"/>
        </w:rPr>
        <w:t xml:space="preserve">　　八、除本通知规定外，四项政府非税收入的征收范围、对象、标准、减免、分成、使用、管理等政策，继续按照现行规定执行。</w:t>
      </w:r>
      <w:r>
        <w:rPr>
          <w:rFonts w:hint="eastAsia"/>
        </w:rPr>
        <w:t xml:space="preserve"> </w:t>
      </w:r>
    </w:p>
    <w:p w14:paraId="67D64F7B" w14:textId="77777777" w:rsidR="00D40179" w:rsidRDefault="00D40179" w:rsidP="00BE225E">
      <w:pPr>
        <w:pStyle w:val="AD"/>
        <w:spacing w:line="276" w:lineRule="auto"/>
      </w:pPr>
    </w:p>
    <w:p w14:paraId="23B4044B" w14:textId="77777777" w:rsidR="00D40179" w:rsidRDefault="00D40179" w:rsidP="00BE225E">
      <w:pPr>
        <w:pStyle w:val="AD"/>
        <w:spacing w:line="276" w:lineRule="auto"/>
      </w:pPr>
      <w:r>
        <w:rPr>
          <w:rFonts w:hint="eastAsia"/>
        </w:rPr>
        <w:t xml:space="preserve">　　九、自然资源部门与使用权人签订出让、划拨等合同后，应当及时向税务部门和财政部门传递相关信息，确保征管信息实时共享。税务部门应会同财政、自然资源、人民银行等部门做好业务衔接和信息互联互通工作，并将计征、缴款等明细信息通过互联互通系统传递给财政、自然资源、人民银行等相关部门，确保征管信息实时共享，账目清晰无误。同时，向财政部门报送征收情况，并附文字说明材料。</w:t>
      </w:r>
      <w:r>
        <w:rPr>
          <w:rFonts w:hint="eastAsia"/>
        </w:rPr>
        <w:t xml:space="preserve"> </w:t>
      </w:r>
    </w:p>
    <w:p w14:paraId="4C156638" w14:textId="77777777" w:rsidR="00D40179" w:rsidRDefault="00D40179" w:rsidP="00BE225E">
      <w:pPr>
        <w:pStyle w:val="AD"/>
        <w:spacing w:line="276" w:lineRule="auto"/>
      </w:pPr>
    </w:p>
    <w:p w14:paraId="6BFF5C4A" w14:textId="77777777" w:rsidR="00D40179" w:rsidRDefault="00D40179" w:rsidP="00BE225E">
      <w:pPr>
        <w:pStyle w:val="AD"/>
        <w:spacing w:line="276" w:lineRule="auto"/>
      </w:pPr>
      <w:r>
        <w:rPr>
          <w:rFonts w:hint="eastAsia"/>
        </w:rPr>
        <w:t xml:space="preserve">　　各级财政、自然资源、税务、人民银行等部门要把思想认识统一到中央决策部署上来，切实提高政治站位，强化部门协作配合，形成非税收入征管职责划转协同共治合力。各地在征管职责划转试点工作中若遇到重大问题，应当及时向税务总局报告，税务总局应当会同财政部、自然资源部、人民银行等有关部门根据试点情况，研究完善具体征缴流程，指导各地做好划转工作；涉及地方跨部门协调难点问题，应当及时向同级政府报告，请地方政府及时协调解决和处理，确保划转工作顺利进行。</w:t>
      </w:r>
      <w:r>
        <w:rPr>
          <w:rFonts w:hint="eastAsia"/>
        </w:rPr>
        <w:t xml:space="preserve"> </w:t>
      </w:r>
    </w:p>
    <w:p w14:paraId="3E847CF1" w14:textId="77777777" w:rsidR="00D40179" w:rsidRDefault="00D40179" w:rsidP="00BE225E">
      <w:pPr>
        <w:pStyle w:val="AD"/>
        <w:spacing w:line="276" w:lineRule="auto"/>
      </w:pPr>
    </w:p>
    <w:p w14:paraId="7BB9FF57" w14:textId="61421B17" w:rsidR="00D40179" w:rsidRDefault="00D40179" w:rsidP="00BE225E">
      <w:pPr>
        <w:pStyle w:val="AD"/>
        <w:spacing w:line="276" w:lineRule="auto"/>
      </w:pPr>
      <w:r>
        <w:rPr>
          <w:rFonts w:hint="eastAsia"/>
        </w:rPr>
        <w:t xml:space="preserve">　　</w:t>
      </w:r>
      <w:hyperlink r:id="rId6" w:history="1">
        <w:r w:rsidRPr="00F226C3">
          <w:rPr>
            <w:rStyle w:val="a7"/>
            <w:rFonts w:hint="eastAsia"/>
          </w:rPr>
          <w:t>附件：国有土地使用权出让收入等四项政府非税收入征缴流程</w:t>
        </w:r>
      </w:hyperlink>
      <w:r>
        <w:rPr>
          <w:rFonts w:hint="eastAsia"/>
        </w:rPr>
        <w:t xml:space="preserve"> </w:t>
      </w:r>
    </w:p>
    <w:p w14:paraId="2985ABFC" w14:textId="77777777" w:rsidR="00D40179" w:rsidRDefault="00D40179" w:rsidP="00BE225E">
      <w:pPr>
        <w:pStyle w:val="AD"/>
        <w:spacing w:line="276" w:lineRule="auto"/>
      </w:pPr>
    </w:p>
    <w:p w14:paraId="5CC8819A" w14:textId="05198084" w:rsidR="00D40179" w:rsidRDefault="00D40179" w:rsidP="00227762">
      <w:pPr>
        <w:pStyle w:val="AD"/>
        <w:spacing w:line="276" w:lineRule="auto"/>
        <w:jc w:val="right"/>
      </w:pPr>
      <w:r>
        <w:rPr>
          <w:rFonts w:hint="eastAsia"/>
        </w:rPr>
        <w:t xml:space="preserve">　　财政部</w:t>
      </w:r>
      <w:r>
        <w:rPr>
          <w:rFonts w:hint="eastAsia"/>
        </w:rPr>
        <w:t xml:space="preserve"> </w:t>
      </w:r>
      <w:r>
        <w:rPr>
          <w:rFonts w:hint="eastAsia"/>
        </w:rPr>
        <w:t>自然资源部</w:t>
      </w:r>
      <w:r>
        <w:rPr>
          <w:rFonts w:hint="eastAsia"/>
        </w:rPr>
        <w:t xml:space="preserve"> </w:t>
      </w:r>
      <w:r>
        <w:rPr>
          <w:rFonts w:hint="eastAsia"/>
        </w:rPr>
        <w:t>税务总局</w:t>
      </w:r>
      <w:r>
        <w:rPr>
          <w:rFonts w:hint="eastAsia"/>
        </w:rPr>
        <w:t xml:space="preserve"> </w:t>
      </w:r>
      <w:r>
        <w:rPr>
          <w:rFonts w:hint="eastAsia"/>
        </w:rPr>
        <w:t>人民银行</w:t>
      </w:r>
    </w:p>
    <w:p w14:paraId="1320E16A" w14:textId="1A169AA4" w:rsidR="00D40179" w:rsidRDefault="00D40179" w:rsidP="00227762">
      <w:pPr>
        <w:pStyle w:val="AD"/>
        <w:spacing w:line="276" w:lineRule="auto"/>
        <w:jc w:val="right"/>
      </w:pPr>
      <w:r>
        <w:rPr>
          <w:rFonts w:hint="eastAsia"/>
        </w:rPr>
        <w:t xml:space="preserve">　　</w:t>
      </w:r>
      <w:r>
        <w:rPr>
          <w:rFonts w:hint="eastAsia"/>
        </w:rPr>
        <w:t>2021</w:t>
      </w:r>
      <w:r>
        <w:rPr>
          <w:rFonts w:hint="eastAsia"/>
        </w:rPr>
        <w:t>年</w:t>
      </w:r>
      <w:r>
        <w:rPr>
          <w:rFonts w:hint="eastAsia"/>
        </w:rPr>
        <w:t>5</w:t>
      </w:r>
      <w:r>
        <w:rPr>
          <w:rFonts w:hint="eastAsia"/>
        </w:rPr>
        <w:t>月</w:t>
      </w:r>
      <w:r>
        <w:rPr>
          <w:rFonts w:hint="eastAsia"/>
        </w:rPr>
        <w:t>21</w:t>
      </w:r>
      <w:r>
        <w:rPr>
          <w:rFonts w:hint="eastAsia"/>
        </w:rPr>
        <w:t>日</w:t>
      </w:r>
    </w:p>
    <w:p w14:paraId="38EF0816" w14:textId="45160E22" w:rsidR="00D40179" w:rsidRDefault="00D40179" w:rsidP="00BE225E">
      <w:pPr>
        <w:pStyle w:val="AD"/>
        <w:spacing w:line="276" w:lineRule="auto"/>
      </w:pPr>
    </w:p>
    <w:p w14:paraId="7A28F588" w14:textId="106051AE" w:rsidR="00D40179" w:rsidRDefault="00D40179" w:rsidP="00BE225E">
      <w:pPr>
        <w:pStyle w:val="AD"/>
        <w:spacing w:line="276" w:lineRule="auto"/>
      </w:pPr>
    </w:p>
    <w:p w14:paraId="5A2A29A5" w14:textId="17ABDC05" w:rsidR="00D40179" w:rsidRDefault="00D40179" w:rsidP="00BE225E">
      <w:pPr>
        <w:pStyle w:val="AD"/>
        <w:spacing w:line="276" w:lineRule="auto"/>
      </w:pPr>
      <w:r>
        <w:rPr>
          <w:rFonts w:hint="eastAsia"/>
        </w:rPr>
        <w:t>信息来源：</w:t>
      </w:r>
      <w:hyperlink r:id="rId7" w:history="1">
        <w:r w:rsidRPr="0092334C">
          <w:rPr>
            <w:rStyle w:val="a7"/>
          </w:rPr>
          <w:t>http://zhs.mof.gov.cn/zhengcefabu/202106/t20210604_3714865.htm</w:t>
        </w:r>
      </w:hyperlink>
    </w:p>
    <w:p w14:paraId="108E4FAD" w14:textId="77777777" w:rsidR="00D40179" w:rsidRPr="00D40179" w:rsidRDefault="00D40179" w:rsidP="00BE225E">
      <w:pPr>
        <w:pStyle w:val="AD"/>
        <w:spacing w:line="276" w:lineRule="auto"/>
      </w:pPr>
    </w:p>
    <w:sectPr w:rsidR="00D40179" w:rsidRPr="00D40179"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F697" w14:textId="77777777" w:rsidR="008842DC" w:rsidRDefault="008842DC" w:rsidP="00C20A6A">
      <w:pPr>
        <w:spacing w:line="240" w:lineRule="auto"/>
      </w:pPr>
      <w:r>
        <w:separator/>
      </w:r>
    </w:p>
  </w:endnote>
  <w:endnote w:type="continuationSeparator" w:id="0">
    <w:p w14:paraId="2834F971" w14:textId="77777777" w:rsidR="008842DC" w:rsidRDefault="008842DC"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D1AC" w14:textId="77777777" w:rsidR="008842DC" w:rsidRDefault="008842DC" w:rsidP="00C20A6A">
      <w:pPr>
        <w:spacing w:line="240" w:lineRule="auto"/>
      </w:pPr>
      <w:r>
        <w:separator/>
      </w:r>
    </w:p>
  </w:footnote>
  <w:footnote w:type="continuationSeparator" w:id="0">
    <w:p w14:paraId="27AE0F00" w14:textId="77777777" w:rsidR="008842DC" w:rsidRDefault="008842DC"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0EE6"/>
    <w:rsid w:val="000F4C6A"/>
    <w:rsid w:val="00176A25"/>
    <w:rsid w:val="001C2B98"/>
    <w:rsid w:val="001C4C6F"/>
    <w:rsid w:val="00227762"/>
    <w:rsid w:val="00320EE6"/>
    <w:rsid w:val="003D27E2"/>
    <w:rsid w:val="005F7C76"/>
    <w:rsid w:val="007D7BDB"/>
    <w:rsid w:val="008842DC"/>
    <w:rsid w:val="00A548E7"/>
    <w:rsid w:val="00B15193"/>
    <w:rsid w:val="00B731F1"/>
    <w:rsid w:val="00BE225E"/>
    <w:rsid w:val="00C20A6A"/>
    <w:rsid w:val="00C22624"/>
    <w:rsid w:val="00CD6444"/>
    <w:rsid w:val="00D02718"/>
    <w:rsid w:val="00D40179"/>
    <w:rsid w:val="00F226C3"/>
    <w:rsid w:val="00FF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3AD0B"/>
  <w15:chartTrackingRefBased/>
  <w15:docId w15:val="{980DD5DD-E751-407E-9637-7D135410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D40179"/>
    <w:rPr>
      <w:color w:val="0000FF" w:themeColor="hyperlink"/>
      <w:u w:val="single"/>
    </w:rPr>
  </w:style>
  <w:style w:type="character" w:styleId="a8">
    <w:name w:val="Unresolved Mention"/>
    <w:basedOn w:val="a0"/>
    <w:uiPriority w:val="99"/>
    <w:semiHidden/>
    <w:unhideWhenUsed/>
    <w:rsid w:val="00D40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hs.mof.gov.cn/zhengcefabu/202106/t20210604_371486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ntrum.hhp.com.cn/newlaw/20210610001_0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7</cp:revision>
  <dcterms:created xsi:type="dcterms:W3CDTF">2021-06-10T04:42:00Z</dcterms:created>
  <dcterms:modified xsi:type="dcterms:W3CDTF">2021-06-11T03:05:00Z</dcterms:modified>
</cp:coreProperties>
</file>