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2CAF" w14:textId="77777777" w:rsidR="00AD3CAC" w:rsidRPr="00231893" w:rsidRDefault="00AD3CAC" w:rsidP="00251526">
      <w:pPr>
        <w:pStyle w:val="AD"/>
        <w:spacing w:line="276" w:lineRule="auto"/>
        <w:jc w:val="center"/>
        <w:rPr>
          <w:rFonts w:hint="eastAsia"/>
          <w:b/>
          <w:bCs/>
          <w:color w:val="E36C0A" w:themeColor="accent6" w:themeShade="BF"/>
          <w:sz w:val="32"/>
          <w:szCs w:val="32"/>
        </w:rPr>
      </w:pPr>
      <w:bookmarkStart w:id="0" w:name="_GoBack"/>
      <w:bookmarkEnd w:id="0"/>
      <w:r w:rsidRPr="00231893">
        <w:rPr>
          <w:rFonts w:hint="eastAsia"/>
          <w:b/>
          <w:bCs/>
          <w:color w:val="E36C0A" w:themeColor="accent6" w:themeShade="BF"/>
          <w:sz w:val="32"/>
          <w:szCs w:val="32"/>
        </w:rPr>
        <w:t>关于防范虚拟货币交易炒作风险的公告</w:t>
      </w:r>
    </w:p>
    <w:p w14:paraId="0C3F1D94" w14:textId="77777777" w:rsidR="00AD3CAC" w:rsidRDefault="00AD3CAC" w:rsidP="00251526">
      <w:pPr>
        <w:pStyle w:val="AD"/>
        <w:spacing w:line="276" w:lineRule="auto"/>
        <w:jc w:val="center"/>
        <w:rPr>
          <w:rFonts w:hint="eastAsia"/>
        </w:rPr>
      </w:pPr>
      <w:r>
        <w:rPr>
          <w:rFonts w:hint="eastAsia"/>
        </w:rPr>
        <w:t>2021</w:t>
      </w:r>
      <w:r>
        <w:rPr>
          <w:rFonts w:hint="eastAsia"/>
        </w:rPr>
        <w:t>年</w:t>
      </w:r>
      <w:r>
        <w:rPr>
          <w:rFonts w:hint="eastAsia"/>
        </w:rPr>
        <w:t>05</w:t>
      </w:r>
      <w:r>
        <w:rPr>
          <w:rFonts w:hint="eastAsia"/>
        </w:rPr>
        <w:t>月</w:t>
      </w:r>
      <w:r>
        <w:rPr>
          <w:rFonts w:hint="eastAsia"/>
        </w:rPr>
        <w:t>18</w:t>
      </w:r>
      <w:r>
        <w:rPr>
          <w:rFonts w:hint="eastAsia"/>
        </w:rPr>
        <w:t>日</w:t>
      </w:r>
    </w:p>
    <w:p w14:paraId="14324B86" w14:textId="77777777" w:rsidR="00231893" w:rsidRDefault="00231893" w:rsidP="00251526">
      <w:pPr>
        <w:pStyle w:val="AD"/>
        <w:spacing w:line="276" w:lineRule="auto"/>
      </w:pPr>
    </w:p>
    <w:p w14:paraId="6C5E6EBC" w14:textId="5B6D891F" w:rsidR="00AD3CAC" w:rsidRDefault="00AD3CAC" w:rsidP="00251526">
      <w:pPr>
        <w:pStyle w:val="AD"/>
        <w:spacing w:line="276" w:lineRule="auto"/>
        <w:rPr>
          <w:rFonts w:hint="eastAsia"/>
        </w:rPr>
      </w:pPr>
      <w:r>
        <w:rPr>
          <w:rFonts w:hint="eastAsia"/>
        </w:rPr>
        <w:t xml:space="preserve">　　近期，虚拟货币价格暴涨暴跌，虚拟货币交易炒作活动有所反弹，严重侵害人民群众财产安全，扰乱经济金融正常秩序。为进一步贯彻落实中国人民银行等部门发布的《关于防范比特币风险的通知》《关于防范代币发行融资风险的公告》等要求，防范虚拟货币交易炒作风险，中国互联网金融协会、中国银行业协会、中国支付清算协会联合就有关事项公告如下：</w:t>
      </w:r>
    </w:p>
    <w:p w14:paraId="7DCB166F" w14:textId="77777777" w:rsidR="00AD3CAC" w:rsidRDefault="00AD3CAC" w:rsidP="00251526">
      <w:pPr>
        <w:pStyle w:val="AD"/>
        <w:spacing w:line="276" w:lineRule="auto"/>
      </w:pPr>
    </w:p>
    <w:p w14:paraId="73288F24" w14:textId="77777777" w:rsidR="00AD3CAC" w:rsidRDefault="00AD3CAC" w:rsidP="00251526">
      <w:pPr>
        <w:pStyle w:val="AD"/>
        <w:spacing w:line="276" w:lineRule="auto"/>
        <w:rPr>
          <w:rFonts w:hint="eastAsia"/>
        </w:rPr>
      </w:pPr>
      <w:r>
        <w:rPr>
          <w:rFonts w:hint="eastAsia"/>
        </w:rPr>
        <w:t xml:space="preserve">　　一、正确认识虚拟货币及相关业务活动的本质属性</w:t>
      </w:r>
    </w:p>
    <w:p w14:paraId="76084ACA" w14:textId="77777777" w:rsidR="00AD3CAC" w:rsidRDefault="00AD3CAC" w:rsidP="00251526">
      <w:pPr>
        <w:pStyle w:val="AD"/>
        <w:spacing w:line="276" w:lineRule="auto"/>
      </w:pPr>
    </w:p>
    <w:p w14:paraId="372A2B2F" w14:textId="77777777" w:rsidR="00AD3CAC" w:rsidRDefault="00AD3CAC" w:rsidP="00251526">
      <w:pPr>
        <w:pStyle w:val="AD"/>
        <w:spacing w:line="276" w:lineRule="auto"/>
        <w:rPr>
          <w:rFonts w:hint="eastAsia"/>
        </w:rPr>
      </w:pPr>
      <w:r>
        <w:rPr>
          <w:rFonts w:hint="eastAsia"/>
        </w:rPr>
        <w:t xml:space="preserve">　　虚拟货币是一种特定的虚拟商品，不由货币当局发行，不具有</w:t>
      </w:r>
      <w:proofErr w:type="gramStart"/>
      <w:r>
        <w:rPr>
          <w:rFonts w:hint="eastAsia"/>
        </w:rPr>
        <w:t>法偿性与</w:t>
      </w:r>
      <w:proofErr w:type="gramEnd"/>
      <w:r>
        <w:rPr>
          <w:rFonts w:hint="eastAsia"/>
        </w:rPr>
        <w:t>强制性等货币属性，不是真正的货币，不应且不能作为货币在市场上流通使用。</w:t>
      </w:r>
    </w:p>
    <w:p w14:paraId="67C77107" w14:textId="77777777" w:rsidR="00AD3CAC" w:rsidRDefault="00AD3CAC" w:rsidP="00251526">
      <w:pPr>
        <w:pStyle w:val="AD"/>
        <w:spacing w:line="276" w:lineRule="auto"/>
      </w:pPr>
    </w:p>
    <w:p w14:paraId="69481A44" w14:textId="77777777" w:rsidR="00AD3CAC" w:rsidRDefault="00AD3CAC" w:rsidP="00251526">
      <w:pPr>
        <w:pStyle w:val="AD"/>
        <w:spacing w:line="276" w:lineRule="auto"/>
        <w:rPr>
          <w:rFonts w:hint="eastAsia"/>
        </w:rPr>
      </w:pPr>
      <w:r>
        <w:rPr>
          <w:rFonts w:hint="eastAsia"/>
        </w:rPr>
        <w:t xml:space="preserve">　　开展法定货币与虚拟货币兑换及虚拟货币之间的兑换业务、作为中央对手方买卖虚拟货币、为虚拟货币交易提供信息中介和定价服务、代币发行融资以及虚拟货币衍生品交易等相关交易活动，违反有关法律法规，并涉嫌非法集资、非法发行证券、非法发售代币票券等犯罪活动。</w:t>
      </w:r>
    </w:p>
    <w:p w14:paraId="0E24A528" w14:textId="77777777" w:rsidR="00AD3CAC" w:rsidRDefault="00AD3CAC" w:rsidP="00251526">
      <w:pPr>
        <w:pStyle w:val="AD"/>
        <w:spacing w:line="276" w:lineRule="auto"/>
      </w:pPr>
    </w:p>
    <w:p w14:paraId="2EE0AC13" w14:textId="77777777" w:rsidR="00AD3CAC" w:rsidRDefault="00AD3CAC" w:rsidP="00251526">
      <w:pPr>
        <w:pStyle w:val="AD"/>
        <w:spacing w:line="276" w:lineRule="auto"/>
        <w:rPr>
          <w:rFonts w:hint="eastAsia"/>
        </w:rPr>
      </w:pPr>
      <w:r>
        <w:rPr>
          <w:rFonts w:hint="eastAsia"/>
        </w:rPr>
        <w:t xml:space="preserve">　　二、有关机构不得开展与虚拟货币相关的业务</w:t>
      </w:r>
    </w:p>
    <w:p w14:paraId="7C3625BF" w14:textId="77777777" w:rsidR="00AD3CAC" w:rsidRDefault="00AD3CAC" w:rsidP="00251526">
      <w:pPr>
        <w:pStyle w:val="AD"/>
        <w:spacing w:line="276" w:lineRule="auto"/>
      </w:pPr>
    </w:p>
    <w:p w14:paraId="44531037" w14:textId="77777777" w:rsidR="00AD3CAC" w:rsidRDefault="00AD3CAC" w:rsidP="00251526">
      <w:pPr>
        <w:pStyle w:val="AD"/>
        <w:spacing w:line="276" w:lineRule="auto"/>
        <w:rPr>
          <w:rFonts w:hint="eastAsia"/>
        </w:rPr>
      </w:pPr>
      <w:r>
        <w:rPr>
          <w:rFonts w:hint="eastAsia"/>
        </w:rPr>
        <w:t xml:space="preserve">　　金融机构、支付机构等会员单位要切实增强社会责任，</w:t>
      </w:r>
      <w:proofErr w:type="gramStart"/>
      <w:r>
        <w:rPr>
          <w:rFonts w:hint="eastAsia"/>
        </w:rPr>
        <w:t>不</w:t>
      </w:r>
      <w:proofErr w:type="gramEnd"/>
      <w:r>
        <w:rPr>
          <w:rFonts w:hint="eastAsia"/>
        </w:rPr>
        <w:t>得用虚拟货币为产品和服务定价，不得承保与虚拟货币相关的保险业务或将虚拟货币纳入保险责任范围，不得直接或间接为客户提供其他与虚拟货币相关的服务，包括但不限于：为客户提供虚拟货币登记、交易、清算、结算等服务；接受虚拟货币或将虚拟货币作为支付结算工具；开展虚拟货币与人民币及外币的兑换服务；开展虚拟货币的储存、托管、抵押等业务；发行与虚拟货币相关的金融产品；将虚拟货币作为信托、基金等投资的投资标的等。</w:t>
      </w:r>
    </w:p>
    <w:p w14:paraId="41A1E353" w14:textId="77777777" w:rsidR="00AD3CAC" w:rsidRDefault="00AD3CAC" w:rsidP="00251526">
      <w:pPr>
        <w:pStyle w:val="AD"/>
        <w:spacing w:line="276" w:lineRule="auto"/>
      </w:pPr>
    </w:p>
    <w:p w14:paraId="7A9ABCB8" w14:textId="77777777" w:rsidR="00AD3CAC" w:rsidRDefault="00AD3CAC" w:rsidP="00251526">
      <w:pPr>
        <w:pStyle w:val="AD"/>
        <w:spacing w:line="276" w:lineRule="auto"/>
        <w:rPr>
          <w:rFonts w:hint="eastAsia"/>
        </w:rPr>
      </w:pPr>
      <w:r>
        <w:rPr>
          <w:rFonts w:hint="eastAsia"/>
        </w:rPr>
        <w:t xml:space="preserve">　　金融机构、支付机构等会员单位应切实加强虚拟货币交易资金监测，依托行业自律机制，强化风险信息共享，提高行业风险联防联控水平；发现违法违规线索的，要及时按程序采取限制、暂停或终止相关交易、服务等措施，并向有关部门报告；同时积极运用多渠道、多元化</w:t>
      </w:r>
      <w:proofErr w:type="gramStart"/>
      <w:r>
        <w:rPr>
          <w:rFonts w:hint="eastAsia"/>
        </w:rPr>
        <w:t>的触达手段</w:t>
      </w:r>
      <w:proofErr w:type="gramEnd"/>
      <w:r>
        <w:rPr>
          <w:rFonts w:hint="eastAsia"/>
        </w:rPr>
        <w:t>，加强客户宣传和警示教育，主动做好涉虚拟货币风险提示。</w:t>
      </w:r>
    </w:p>
    <w:p w14:paraId="1D46C952" w14:textId="77777777" w:rsidR="00AD3CAC" w:rsidRDefault="00AD3CAC" w:rsidP="00251526">
      <w:pPr>
        <w:pStyle w:val="AD"/>
        <w:spacing w:line="276" w:lineRule="auto"/>
      </w:pPr>
    </w:p>
    <w:p w14:paraId="3FA6069C" w14:textId="77777777" w:rsidR="00AD3CAC" w:rsidRDefault="00AD3CAC" w:rsidP="00251526">
      <w:pPr>
        <w:pStyle w:val="AD"/>
        <w:spacing w:line="276" w:lineRule="auto"/>
        <w:rPr>
          <w:rFonts w:hint="eastAsia"/>
        </w:rPr>
      </w:pPr>
      <w:r>
        <w:rPr>
          <w:rFonts w:hint="eastAsia"/>
        </w:rPr>
        <w:t xml:space="preserve">　　互联网平台企业会员单位不得为虚拟货币相关业务活动提供网络经营场所、商业展示、营销宣传、付费导流等服务，发现相关问题线索应及时向有关部门报告，并为相关调查、侦查工作提供技术支持和协助。</w:t>
      </w:r>
    </w:p>
    <w:p w14:paraId="5F5874DF" w14:textId="77777777" w:rsidR="00AD3CAC" w:rsidRDefault="00AD3CAC" w:rsidP="00251526">
      <w:pPr>
        <w:pStyle w:val="AD"/>
        <w:spacing w:line="276" w:lineRule="auto"/>
      </w:pPr>
    </w:p>
    <w:p w14:paraId="5F8885EC" w14:textId="77777777" w:rsidR="00AD3CAC" w:rsidRDefault="00AD3CAC" w:rsidP="00251526">
      <w:pPr>
        <w:pStyle w:val="AD"/>
        <w:spacing w:line="276" w:lineRule="auto"/>
        <w:rPr>
          <w:rFonts w:hint="eastAsia"/>
        </w:rPr>
      </w:pPr>
      <w:r>
        <w:rPr>
          <w:rFonts w:hint="eastAsia"/>
        </w:rPr>
        <w:t xml:space="preserve">　　三、消费者要提高风险防范意识，谨防财产和权益损失</w:t>
      </w:r>
    </w:p>
    <w:p w14:paraId="138692B1" w14:textId="77777777" w:rsidR="00AD3CAC" w:rsidRDefault="00AD3CAC" w:rsidP="00251526">
      <w:pPr>
        <w:pStyle w:val="AD"/>
        <w:spacing w:line="276" w:lineRule="auto"/>
      </w:pPr>
    </w:p>
    <w:p w14:paraId="2CB64F9E" w14:textId="77777777" w:rsidR="00AD3CAC" w:rsidRDefault="00AD3CAC" w:rsidP="00251526">
      <w:pPr>
        <w:pStyle w:val="AD"/>
        <w:spacing w:line="276" w:lineRule="auto"/>
        <w:rPr>
          <w:rFonts w:hint="eastAsia"/>
        </w:rPr>
      </w:pPr>
      <w:r>
        <w:rPr>
          <w:rFonts w:hint="eastAsia"/>
        </w:rPr>
        <w:t xml:space="preserve">　　虚拟货币</w:t>
      </w:r>
      <w:proofErr w:type="gramStart"/>
      <w:r>
        <w:rPr>
          <w:rFonts w:hint="eastAsia"/>
        </w:rPr>
        <w:t>无真实</w:t>
      </w:r>
      <w:proofErr w:type="gramEnd"/>
      <w:r>
        <w:rPr>
          <w:rFonts w:hint="eastAsia"/>
        </w:rPr>
        <w:t>价值支撑，价格极易被操纵，相关投机交易活动存在虚假资产风险、经营失败风险、投资炒作风险等多重风险。从我国现有司法实践看，虚拟货币交易合同不受法律保</w:t>
      </w:r>
      <w:r>
        <w:rPr>
          <w:rFonts w:hint="eastAsia"/>
        </w:rPr>
        <w:lastRenderedPageBreak/>
        <w:t>护，投资交易造成的后果和引发的损失由相关方自行承担。</w:t>
      </w:r>
    </w:p>
    <w:p w14:paraId="69192687" w14:textId="77777777" w:rsidR="00AD3CAC" w:rsidRDefault="00AD3CAC" w:rsidP="00251526">
      <w:pPr>
        <w:pStyle w:val="AD"/>
        <w:spacing w:line="276" w:lineRule="auto"/>
      </w:pPr>
    </w:p>
    <w:p w14:paraId="04E809D9" w14:textId="77777777" w:rsidR="00AD3CAC" w:rsidRDefault="00AD3CAC" w:rsidP="00251526">
      <w:pPr>
        <w:pStyle w:val="AD"/>
        <w:spacing w:line="276" w:lineRule="auto"/>
        <w:rPr>
          <w:rFonts w:hint="eastAsia"/>
        </w:rPr>
      </w:pPr>
      <w:r>
        <w:rPr>
          <w:rFonts w:hint="eastAsia"/>
        </w:rPr>
        <w:t xml:space="preserve">　　广大消费者要增强风险意识，树立正确的投资理念，不参与虚拟货币交易炒作活动，谨防个人财产及权益受损。要珍惜个人银行账户，不用于虚拟货币账户充值和提现、购买和销售相关交易</w:t>
      </w:r>
      <w:proofErr w:type="gramStart"/>
      <w:r>
        <w:rPr>
          <w:rFonts w:hint="eastAsia"/>
        </w:rPr>
        <w:t>充值码以及</w:t>
      </w:r>
      <w:proofErr w:type="gramEnd"/>
      <w:r>
        <w:rPr>
          <w:rFonts w:hint="eastAsia"/>
        </w:rPr>
        <w:t>划转相关交易资金等活动，防止违法使用和个人信息泄露。</w:t>
      </w:r>
    </w:p>
    <w:p w14:paraId="54CE8686" w14:textId="77777777" w:rsidR="00AD3CAC" w:rsidRDefault="00AD3CAC" w:rsidP="00251526">
      <w:pPr>
        <w:pStyle w:val="AD"/>
        <w:spacing w:line="276" w:lineRule="auto"/>
      </w:pPr>
    </w:p>
    <w:p w14:paraId="120BA178" w14:textId="77777777" w:rsidR="00AD3CAC" w:rsidRDefault="00AD3CAC" w:rsidP="00251526">
      <w:pPr>
        <w:pStyle w:val="AD"/>
        <w:spacing w:line="276" w:lineRule="auto"/>
        <w:rPr>
          <w:rFonts w:hint="eastAsia"/>
        </w:rPr>
      </w:pPr>
      <w:r>
        <w:rPr>
          <w:rFonts w:hint="eastAsia"/>
        </w:rPr>
        <w:t xml:space="preserve">　　四、加强对会员单位的自律管理</w:t>
      </w:r>
    </w:p>
    <w:p w14:paraId="633E2373" w14:textId="77777777" w:rsidR="00AD3CAC" w:rsidRDefault="00AD3CAC" w:rsidP="00251526">
      <w:pPr>
        <w:pStyle w:val="AD"/>
        <w:spacing w:line="276" w:lineRule="auto"/>
      </w:pPr>
    </w:p>
    <w:p w14:paraId="61E2EF15" w14:textId="77777777" w:rsidR="00AD3CAC" w:rsidRDefault="00AD3CAC" w:rsidP="00251526">
      <w:pPr>
        <w:pStyle w:val="AD"/>
        <w:spacing w:line="276" w:lineRule="auto"/>
        <w:rPr>
          <w:rFonts w:hint="eastAsia"/>
        </w:rPr>
      </w:pPr>
      <w:r>
        <w:rPr>
          <w:rFonts w:hint="eastAsia"/>
        </w:rPr>
        <w:t xml:space="preserve">　　各会员单位要严格落实国家有关监管要求，恪守行业自律承诺，坚决不开展、不参与任何与虚拟货币相关的业务活动。三家协会将加强对会员单位的自律监督，发现违反有关监管规定和行业自律管理要求的，将依照相关自律规范对其采取业内通报、暂停会员权利、取消会员资格等处分措施，并向金融管理部门报告，涉嫌违法犯罪的，将有关线索移送公安机关。</w:t>
      </w:r>
    </w:p>
    <w:p w14:paraId="59FADF94" w14:textId="77777777" w:rsidR="00AD3CAC" w:rsidRDefault="00AD3CAC" w:rsidP="00251526">
      <w:pPr>
        <w:pStyle w:val="AD"/>
        <w:spacing w:line="276" w:lineRule="auto"/>
      </w:pPr>
    </w:p>
    <w:p w14:paraId="6AD0C7F5" w14:textId="0F6B2B65" w:rsidR="00AD3CAC" w:rsidRDefault="00AD3CAC" w:rsidP="00251526">
      <w:pPr>
        <w:pStyle w:val="AD"/>
        <w:spacing w:line="276" w:lineRule="auto"/>
        <w:jc w:val="right"/>
      </w:pPr>
      <w:r>
        <w:rPr>
          <w:rFonts w:hint="eastAsia"/>
        </w:rPr>
        <w:t xml:space="preserve">　　中国互联网金融协会</w:t>
      </w:r>
    </w:p>
    <w:p w14:paraId="53BBA451" w14:textId="1D6C6835" w:rsidR="00AD3CAC" w:rsidRDefault="00AD3CAC" w:rsidP="00251526">
      <w:pPr>
        <w:pStyle w:val="AD"/>
        <w:spacing w:line="276" w:lineRule="auto"/>
        <w:jc w:val="right"/>
      </w:pPr>
      <w:r>
        <w:rPr>
          <w:rFonts w:hint="eastAsia"/>
        </w:rPr>
        <w:t xml:space="preserve">　　中国银行业协会</w:t>
      </w:r>
    </w:p>
    <w:p w14:paraId="4A20DAE2" w14:textId="62E67AAA" w:rsidR="00AD3CAC" w:rsidRDefault="00AD3CAC" w:rsidP="00251526">
      <w:pPr>
        <w:pStyle w:val="AD"/>
        <w:spacing w:line="276" w:lineRule="auto"/>
        <w:jc w:val="right"/>
      </w:pPr>
      <w:r>
        <w:rPr>
          <w:rFonts w:hint="eastAsia"/>
        </w:rPr>
        <w:t xml:space="preserve">　　中国支付清算协会</w:t>
      </w:r>
    </w:p>
    <w:p w14:paraId="6979FEFE" w14:textId="77777777" w:rsidR="00AD3CAC" w:rsidRDefault="00AD3CAC" w:rsidP="00251526">
      <w:pPr>
        <w:pStyle w:val="AD"/>
        <w:spacing w:line="276" w:lineRule="auto"/>
        <w:jc w:val="right"/>
        <w:rPr>
          <w:rFonts w:hint="eastAsia"/>
        </w:rPr>
      </w:pPr>
      <w:r>
        <w:rPr>
          <w:rFonts w:hint="eastAsia"/>
        </w:rPr>
        <w:t xml:space="preserve">　　</w:t>
      </w:r>
      <w:r>
        <w:rPr>
          <w:rFonts w:hint="eastAsia"/>
        </w:rPr>
        <w:t>2021</w:t>
      </w:r>
      <w:r>
        <w:rPr>
          <w:rFonts w:hint="eastAsia"/>
        </w:rPr>
        <w:t>年</w:t>
      </w:r>
      <w:r>
        <w:rPr>
          <w:rFonts w:hint="eastAsia"/>
        </w:rPr>
        <w:t>5</w:t>
      </w:r>
      <w:r>
        <w:rPr>
          <w:rFonts w:hint="eastAsia"/>
        </w:rPr>
        <w:t>月</w:t>
      </w:r>
      <w:r>
        <w:rPr>
          <w:rFonts w:hint="eastAsia"/>
        </w:rPr>
        <w:t>18</w:t>
      </w:r>
      <w:r>
        <w:rPr>
          <w:rFonts w:hint="eastAsia"/>
        </w:rPr>
        <w:t>日</w:t>
      </w:r>
    </w:p>
    <w:p w14:paraId="08384FE3" w14:textId="77777777" w:rsidR="00AD3CAC" w:rsidRDefault="00AD3CAC" w:rsidP="00251526">
      <w:pPr>
        <w:pStyle w:val="AD"/>
        <w:spacing w:line="276" w:lineRule="auto"/>
      </w:pPr>
    </w:p>
    <w:p w14:paraId="21CB2FCE" w14:textId="0AF5BD4B" w:rsidR="00AD3CAC" w:rsidRDefault="00AD3CAC" w:rsidP="00251526">
      <w:pPr>
        <w:pStyle w:val="AD"/>
        <w:spacing w:line="276" w:lineRule="auto"/>
      </w:pPr>
    </w:p>
    <w:p w14:paraId="106BA1DB" w14:textId="0C2D01DA" w:rsidR="00AD3CAC" w:rsidRDefault="00AD3CAC" w:rsidP="00251526">
      <w:pPr>
        <w:pStyle w:val="AD"/>
        <w:spacing w:line="276" w:lineRule="auto"/>
      </w:pPr>
    </w:p>
    <w:p w14:paraId="35ACB544" w14:textId="07554896" w:rsidR="00AD3CAC" w:rsidRDefault="00AD3CAC" w:rsidP="00251526">
      <w:pPr>
        <w:pStyle w:val="AD"/>
        <w:spacing w:line="276" w:lineRule="auto"/>
      </w:pPr>
      <w:r>
        <w:rPr>
          <w:rFonts w:hint="eastAsia"/>
        </w:rPr>
        <w:t>信息来源：</w:t>
      </w:r>
      <w:hyperlink r:id="rId6" w:history="1">
        <w:r w:rsidRPr="00FA0197">
          <w:rPr>
            <w:rStyle w:val="a9"/>
          </w:rPr>
          <w:t>https://www.nifa.org.cn/nifa/2955675/2955761/2996296/index.html</w:t>
        </w:r>
      </w:hyperlink>
    </w:p>
    <w:p w14:paraId="7C025EC4" w14:textId="77777777" w:rsidR="00AD3CAC" w:rsidRPr="00AD3CAC" w:rsidRDefault="00AD3CAC" w:rsidP="00251526">
      <w:pPr>
        <w:pStyle w:val="AD"/>
        <w:spacing w:line="276" w:lineRule="auto"/>
        <w:rPr>
          <w:rFonts w:hint="eastAsia"/>
        </w:rPr>
      </w:pPr>
    </w:p>
    <w:sectPr w:rsidR="00AD3CAC" w:rsidRPr="00AD3CA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373BA" w14:textId="77777777" w:rsidR="008A79EC" w:rsidRDefault="008A79EC" w:rsidP="00C20A6A">
      <w:pPr>
        <w:spacing w:line="240" w:lineRule="auto"/>
      </w:pPr>
      <w:r>
        <w:separator/>
      </w:r>
    </w:p>
  </w:endnote>
  <w:endnote w:type="continuationSeparator" w:id="0">
    <w:p w14:paraId="2A34DF56" w14:textId="77777777" w:rsidR="008A79EC" w:rsidRDefault="008A79E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5544" w14:textId="77777777" w:rsidR="008A79EC" w:rsidRDefault="008A79EC" w:rsidP="00C20A6A">
      <w:pPr>
        <w:spacing w:line="240" w:lineRule="auto"/>
      </w:pPr>
      <w:r>
        <w:separator/>
      </w:r>
    </w:p>
  </w:footnote>
  <w:footnote w:type="continuationSeparator" w:id="0">
    <w:p w14:paraId="4495A9E6" w14:textId="77777777" w:rsidR="008A79EC" w:rsidRDefault="008A79E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967EF"/>
    <w:rsid w:val="000F4C6A"/>
    <w:rsid w:val="00176A25"/>
    <w:rsid w:val="001C4C6F"/>
    <w:rsid w:val="00231893"/>
    <w:rsid w:val="00251526"/>
    <w:rsid w:val="00310988"/>
    <w:rsid w:val="003D27E2"/>
    <w:rsid w:val="005E050A"/>
    <w:rsid w:val="005F7C76"/>
    <w:rsid w:val="007967EF"/>
    <w:rsid w:val="007D7BDB"/>
    <w:rsid w:val="008A79EC"/>
    <w:rsid w:val="00A548E7"/>
    <w:rsid w:val="00AD3CAC"/>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EF867"/>
  <w15:chartTrackingRefBased/>
  <w15:docId w15:val="{EFAAF8EB-EDBC-45FE-A144-272D4821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D3CAC"/>
    <w:pPr>
      <w:ind w:leftChars="2500" w:left="100"/>
    </w:pPr>
  </w:style>
  <w:style w:type="character" w:customStyle="1" w:styleId="a8">
    <w:name w:val="日期 字符"/>
    <w:basedOn w:val="a0"/>
    <w:link w:val="a7"/>
    <w:uiPriority w:val="99"/>
    <w:semiHidden/>
    <w:rsid w:val="00AD3CAC"/>
    <w:rPr>
      <w:rFonts w:ascii="Arial" w:eastAsia="宋体" w:hAnsi="Arial"/>
      <w:sz w:val="22"/>
    </w:rPr>
  </w:style>
  <w:style w:type="character" w:styleId="a9">
    <w:name w:val="Hyperlink"/>
    <w:basedOn w:val="a0"/>
    <w:uiPriority w:val="99"/>
    <w:unhideWhenUsed/>
    <w:rsid w:val="00AD3CAC"/>
    <w:rPr>
      <w:color w:val="0000FF" w:themeColor="hyperlink"/>
      <w:u w:val="single"/>
    </w:rPr>
  </w:style>
  <w:style w:type="character" w:styleId="aa">
    <w:name w:val="Unresolved Mention"/>
    <w:basedOn w:val="a0"/>
    <w:uiPriority w:val="99"/>
    <w:semiHidden/>
    <w:unhideWhenUsed/>
    <w:rsid w:val="00AD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ifa.org.cn/nifa/2955675/2955761/2996296/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2021-05-20T03:43:00Z</dcterms:created>
  <dcterms:modified xsi:type="dcterms:W3CDTF">2021-05-20T03:44:00Z</dcterms:modified>
</cp:coreProperties>
</file>