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3B746C" w14:textId="77777777" w:rsidR="005E71CA" w:rsidRPr="007F1A83" w:rsidRDefault="005E71CA" w:rsidP="007F1A83">
      <w:pPr>
        <w:pStyle w:val="AD"/>
        <w:spacing w:line="276" w:lineRule="auto"/>
        <w:jc w:val="center"/>
        <w:rPr>
          <w:b/>
          <w:bCs/>
          <w:color w:val="E36C0A" w:themeColor="accent6" w:themeShade="BF"/>
          <w:sz w:val="32"/>
          <w:szCs w:val="32"/>
        </w:rPr>
      </w:pPr>
      <w:r w:rsidRPr="007F1A83">
        <w:rPr>
          <w:rFonts w:hint="eastAsia"/>
          <w:b/>
          <w:bCs/>
          <w:color w:val="E36C0A" w:themeColor="accent6" w:themeShade="BF"/>
          <w:sz w:val="32"/>
          <w:szCs w:val="32"/>
        </w:rPr>
        <w:t>关于加强生态环境监督执法正面清单管理推动差异</w:t>
      </w:r>
      <w:proofErr w:type="gramStart"/>
      <w:r w:rsidRPr="007F1A83">
        <w:rPr>
          <w:rFonts w:hint="eastAsia"/>
          <w:b/>
          <w:bCs/>
          <w:color w:val="E36C0A" w:themeColor="accent6" w:themeShade="BF"/>
          <w:sz w:val="32"/>
          <w:szCs w:val="32"/>
        </w:rPr>
        <w:t>化执法</w:t>
      </w:r>
      <w:proofErr w:type="gramEnd"/>
      <w:r w:rsidRPr="007F1A83">
        <w:rPr>
          <w:rFonts w:hint="eastAsia"/>
          <w:b/>
          <w:bCs/>
          <w:color w:val="E36C0A" w:themeColor="accent6" w:themeShade="BF"/>
          <w:sz w:val="32"/>
          <w:szCs w:val="32"/>
        </w:rPr>
        <w:t>监管的指导意见</w:t>
      </w:r>
    </w:p>
    <w:p w14:paraId="691A19B0" w14:textId="77777777" w:rsidR="009B2D0C" w:rsidRDefault="009B2D0C" w:rsidP="00F31916">
      <w:pPr>
        <w:pStyle w:val="AD"/>
        <w:spacing w:line="276" w:lineRule="auto"/>
      </w:pPr>
    </w:p>
    <w:p w14:paraId="56EE560F" w14:textId="54D4219B" w:rsidR="005E71CA" w:rsidRDefault="005E71CA" w:rsidP="00F31916">
      <w:pPr>
        <w:pStyle w:val="AD"/>
        <w:spacing w:line="276" w:lineRule="auto"/>
      </w:pPr>
      <w:r>
        <w:rPr>
          <w:rFonts w:hint="eastAsia"/>
        </w:rPr>
        <w:t>各省、自治区、直辖市生态环境厅（局），新疆生产建设兵团生态环境局：</w:t>
      </w:r>
    </w:p>
    <w:p w14:paraId="3EAA393F" w14:textId="77777777" w:rsidR="009B2D0C" w:rsidRDefault="009B2D0C" w:rsidP="00F31916">
      <w:pPr>
        <w:pStyle w:val="AD"/>
        <w:spacing w:line="276" w:lineRule="auto"/>
      </w:pPr>
    </w:p>
    <w:p w14:paraId="10685CFC" w14:textId="295861BC" w:rsidR="005E71CA" w:rsidRDefault="005E71CA" w:rsidP="00F31916">
      <w:pPr>
        <w:pStyle w:val="AD"/>
        <w:spacing w:line="276" w:lineRule="auto"/>
      </w:pPr>
      <w:r>
        <w:rPr>
          <w:rFonts w:hint="eastAsia"/>
        </w:rPr>
        <w:t xml:space="preserve">　　为适应生态环境治理体系现代化建设需求，转变监管理念，优化执法方式，加强生态环境监督执法正面清单（以下简称正面清单）管理，推动差异</w:t>
      </w:r>
      <w:proofErr w:type="gramStart"/>
      <w:r>
        <w:rPr>
          <w:rFonts w:hint="eastAsia"/>
        </w:rPr>
        <w:t>化执法</w:t>
      </w:r>
      <w:proofErr w:type="gramEnd"/>
      <w:r>
        <w:rPr>
          <w:rFonts w:hint="eastAsia"/>
        </w:rPr>
        <w:t>监管，提出以下指导意见。</w:t>
      </w:r>
    </w:p>
    <w:p w14:paraId="0EC3F9BB" w14:textId="77777777" w:rsidR="005E71CA" w:rsidRDefault="005E71CA" w:rsidP="00F31916">
      <w:pPr>
        <w:pStyle w:val="AD"/>
        <w:spacing w:line="276" w:lineRule="auto"/>
      </w:pPr>
      <w:r>
        <w:rPr>
          <w:rFonts w:hint="eastAsia"/>
        </w:rPr>
        <w:t xml:space="preserve">　　一、总体要求</w:t>
      </w:r>
    </w:p>
    <w:p w14:paraId="0F5027AB" w14:textId="77777777" w:rsidR="005E71CA" w:rsidRDefault="005E71CA" w:rsidP="00F31916">
      <w:pPr>
        <w:pStyle w:val="AD"/>
        <w:spacing w:line="276" w:lineRule="auto"/>
      </w:pPr>
      <w:r>
        <w:rPr>
          <w:rFonts w:hint="eastAsia"/>
        </w:rPr>
        <w:t xml:space="preserve">　　坚持生态环境保护工作方向不变、力度不减，突出精准治污、科学治污、依法治污，将实施正面清单制度作为支持服务做好“六稳”工作、落实“六保”任务的重要举措，不断深化“放管服”改革，加强事中事后监管，持续优化法治环境。通过深入实施正面清单制度，进一步优化执法方式，提高执法效能，鼓励环境守法，严惩环境违法。</w:t>
      </w:r>
    </w:p>
    <w:p w14:paraId="110E8F75" w14:textId="77777777" w:rsidR="005E71CA" w:rsidRDefault="005E71CA" w:rsidP="00F31916">
      <w:pPr>
        <w:pStyle w:val="AD"/>
        <w:spacing w:line="276" w:lineRule="auto"/>
      </w:pPr>
      <w:r>
        <w:rPr>
          <w:rFonts w:hint="eastAsia"/>
        </w:rPr>
        <w:t xml:space="preserve">　　坚持引导企业自觉守法与加强监管执法并重原则。将一部分符合条件的守法模范企业纳入正面清单，对其充分信任和支持，发挥示范引领作用，加大正向激励力度，让自觉守法企业受益。依法履行生态环境保护统一监督管理职责，依法惩处各类环境违法行为。</w:t>
      </w:r>
    </w:p>
    <w:p w14:paraId="76A24827" w14:textId="77777777" w:rsidR="005E71CA" w:rsidRDefault="005E71CA" w:rsidP="00F31916">
      <w:pPr>
        <w:pStyle w:val="AD"/>
        <w:spacing w:line="276" w:lineRule="auto"/>
      </w:pPr>
      <w:r>
        <w:rPr>
          <w:rFonts w:hint="eastAsia"/>
        </w:rPr>
        <w:t xml:space="preserve">　　坚持严格规范执法与精准帮扶相结合原则。严格依法履职，严格执行行政执法“三项制度”，规范行使行政处罚自由裁量权，规范各类现场执法检查活动。营造生态环境守法氛围，及时听取企业诉求，指导帮助加强环境管理，推动履行生态环境保护责任和义务。</w:t>
      </w:r>
    </w:p>
    <w:p w14:paraId="4AB6F967" w14:textId="77777777" w:rsidR="005E71CA" w:rsidRDefault="005E71CA" w:rsidP="00F31916">
      <w:pPr>
        <w:pStyle w:val="AD"/>
        <w:spacing w:line="276" w:lineRule="auto"/>
      </w:pPr>
      <w:r>
        <w:rPr>
          <w:rFonts w:hint="eastAsia"/>
        </w:rPr>
        <w:t xml:space="preserve">　　坚持统一监管标准与差异化监管措施相结合原则。对正面清单企业不得“降低要求”“不管不问”，要纳入“双随机、</w:t>
      </w:r>
      <w:proofErr w:type="gramStart"/>
      <w:r>
        <w:rPr>
          <w:rFonts w:hint="eastAsia"/>
        </w:rPr>
        <w:t>一</w:t>
      </w:r>
      <w:proofErr w:type="gramEnd"/>
      <w:r>
        <w:rPr>
          <w:rFonts w:hint="eastAsia"/>
        </w:rPr>
        <w:t>公开”监管范围，并通过公开企业名单主动接受社会监督，确保公平公正执法。积极推行非现场执法方式，采取差异化监管措施，提升生态环境监管执法精细化水平，实现对守法者无事不扰，对违法者利剑高悬。</w:t>
      </w:r>
    </w:p>
    <w:p w14:paraId="688ABA5C" w14:textId="77777777" w:rsidR="005E71CA" w:rsidRDefault="005E71CA" w:rsidP="00F31916">
      <w:pPr>
        <w:pStyle w:val="AD"/>
        <w:spacing w:line="276" w:lineRule="auto"/>
      </w:pPr>
      <w:r>
        <w:rPr>
          <w:rFonts w:hint="eastAsia"/>
        </w:rPr>
        <w:t xml:space="preserve">　　二、加强正面清单管理</w:t>
      </w:r>
    </w:p>
    <w:p w14:paraId="2D1C4260" w14:textId="77777777" w:rsidR="005E71CA" w:rsidRDefault="005E71CA" w:rsidP="00F31916">
      <w:pPr>
        <w:pStyle w:val="AD"/>
        <w:spacing w:line="276" w:lineRule="auto"/>
      </w:pPr>
      <w:r>
        <w:rPr>
          <w:rFonts w:hint="eastAsia"/>
        </w:rPr>
        <w:t xml:space="preserve">　　（一）明确管理职责分工。省级生态环境部门负责完善本行政区域正面清单管理制度，明确纳入条件和程序、正面清单有效期和对正面清单企业（含建设项目，下同）的差异化监管措施，接受正面清单企业名单备案，并对地方生态环境部门实施情况开展监督检查。设区的市级生态环境部门负责做好正面清单企业的纳入、公开、调整等工作，细化落实相关监管和激励措施。</w:t>
      </w:r>
    </w:p>
    <w:p w14:paraId="302B2662" w14:textId="77777777" w:rsidR="005E71CA" w:rsidRDefault="005E71CA" w:rsidP="00F31916">
      <w:pPr>
        <w:pStyle w:val="AD"/>
        <w:spacing w:line="276" w:lineRule="auto"/>
      </w:pPr>
      <w:r>
        <w:rPr>
          <w:rFonts w:hint="eastAsia"/>
        </w:rPr>
        <w:t xml:space="preserve">　　（二）科学制定正面清单。省级生态环境部门应结合本地产业结构、环境容量、环境质量改善目标、监管执法能力，并综合考虑企业装备水平、达标排放情况、排放总量情况、监控系统联网情况、环境风险管理能力、环境信息公开情况、环保信用评价结果、整改落实情况等因素合理设定正面清单纳入条件。鼓励企业开展污染防治绩效和环境风险管理能力评估。做好与前期正面清单工作衔接，支持将与民生保障密切相关的，污染物排放量小、环境风险低、吸纳就业能力强的小</w:t>
      </w:r>
      <w:proofErr w:type="gramStart"/>
      <w:r>
        <w:rPr>
          <w:rFonts w:hint="eastAsia"/>
        </w:rPr>
        <w:t>微企业</w:t>
      </w:r>
      <w:proofErr w:type="gramEnd"/>
      <w:r>
        <w:rPr>
          <w:rFonts w:hint="eastAsia"/>
        </w:rPr>
        <w:t>纳入正面清单。</w:t>
      </w:r>
    </w:p>
    <w:p w14:paraId="026C3859" w14:textId="77777777" w:rsidR="005E71CA" w:rsidRDefault="005E71CA" w:rsidP="00F31916">
      <w:pPr>
        <w:pStyle w:val="AD"/>
        <w:spacing w:line="276" w:lineRule="auto"/>
      </w:pPr>
      <w:r>
        <w:rPr>
          <w:rFonts w:hint="eastAsia"/>
        </w:rPr>
        <w:t xml:space="preserve">　　（三）规范纳入发布程序。在确定正面清单纳入条件、编制正面清单企业名单过程中</w:t>
      </w:r>
      <w:r>
        <w:rPr>
          <w:rFonts w:hint="eastAsia"/>
        </w:rPr>
        <w:t>,</w:t>
      </w:r>
      <w:r>
        <w:rPr>
          <w:rFonts w:hint="eastAsia"/>
        </w:rPr>
        <w:t>生态环境部门应积极听取相关部门、行业协会和社会组织意见。正面清单企业名单发布或调整之前，应向社会公示，主动接受社会监督，并向省级生态环境部门备案。设区的市级生态环境部门应主动将正面清单企业的名称、所在地、统一社会信用代码、所属行业、排污许可证编号（排污</w:t>
      </w:r>
      <w:r>
        <w:rPr>
          <w:rFonts w:hint="eastAsia"/>
        </w:rPr>
        <w:lastRenderedPageBreak/>
        <w:t>登记编号）、正面清单有效期等信息向社会公开，并公布投诉举报途径。鼓励创新纳入和发布程序，提升纳入机制的科学性和公正性。</w:t>
      </w:r>
    </w:p>
    <w:p w14:paraId="0CBA7165" w14:textId="77777777" w:rsidR="005E71CA" w:rsidRDefault="005E71CA" w:rsidP="00F31916">
      <w:pPr>
        <w:pStyle w:val="AD"/>
        <w:spacing w:line="276" w:lineRule="auto"/>
      </w:pPr>
      <w:r>
        <w:rPr>
          <w:rFonts w:hint="eastAsia"/>
        </w:rPr>
        <w:t xml:space="preserve">　　（四）全面实施动态管理。省级生态环境部门应适时调整优化正面清单纳入条件，设区的市级生态环境部门应及时将不再符合纳入条件的企业移出正面清单企业名单。对存在恶意偷排、</w:t>
      </w:r>
      <w:proofErr w:type="gramStart"/>
      <w:r>
        <w:rPr>
          <w:rFonts w:hint="eastAsia"/>
        </w:rPr>
        <w:t>篡改台</w:t>
      </w:r>
      <w:proofErr w:type="gramEnd"/>
      <w:r>
        <w:rPr>
          <w:rFonts w:hint="eastAsia"/>
        </w:rPr>
        <w:t>账记录、逃避监管等严重环境违法行为的，不得再次纳入。正面清单有效期一般为</w:t>
      </w:r>
      <w:r>
        <w:rPr>
          <w:rFonts w:hint="eastAsia"/>
        </w:rPr>
        <w:t>3</w:t>
      </w:r>
      <w:r>
        <w:rPr>
          <w:rFonts w:hint="eastAsia"/>
        </w:rPr>
        <w:t>年，在有效期内，设区的市级生态环境部门要组织对清单内企业至少进行一次“体检式”现场帮扶，督促企业提高环境管理水平。</w:t>
      </w:r>
    </w:p>
    <w:p w14:paraId="679CF8F9" w14:textId="77777777" w:rsidR="005E71CA" w:rsidRDefault="005E71CA" w:rsidP="00F31916">
      <w:pPr>
        <w:pStyle w:val="AD"/>
        <w:spacing w:line="276" w:lineRule="auto"/>
      </w:pPr>
      <w:r>
        <w:rPr>
          <w:rFonts w:hint="eastAsia"/>
        </w:rPr>
        <w:t xml:space="preserve">　　（五）统筹制度衔接。做好正面清单与环保信用评价、排污许可管理、重污染天气应对等制度统筹衔接。将正面清单企业纳入“双随机、</w:t>
      </w:r>
      <w:proofErr w:type="gramStart"/>
      <w:r>
        <w:rPr>
          <w:rFonts w:hint="eastAsia"/>
        </w:rPr>
        <w:t>一</w:t>
      </w:r>
      <w:proofErr w:type="gramEnd"/>
      <w:r>
        <w:rPr>
          <w:rFonts w:hint="eastAsia"/>
        </w:rPr>
        <w:t>公开”污染源监管动态信息库，并列入执法计划。在移动执法等信息系统中设置正面清单工作选项，实现非现场执法检查过程、减免行政处罚情况的全过程留痕和</w:t>
      </w:r>
      <w:proofErr w:type="gramStart"/>
      <w:r>
        <w:rPr>
          <w:rFonts w:hint="eastAsia"/>
        </w:rPr>
        <w:t>可</w:t>
      </w:r>
      <w:proofErr w:type="gramEnd"/>
      <w:r>
        <w:rPr>
          <w:rFonts w:hint="eastAsia"/>
        </w:rPr>
        <w:t>回溯管理。做好上下级生态环境部门执法工作衔接，实现监管措施一致，执法检查结果互认，避免重复检查、多头执法。鼓励探索对清单内企业依法监管履职无责制度。</w:t>
      </w:r>
    </w:p>
    <w:p w14:paraId="0C084BA8" w14:textId="77777777" w:rsidR="005E71CA" w:rsidRDefault="005E71CA" w:rsidP="00F31916">
      <w:pPr>
        <w:pStyle w:val="AD"/>
        <w:spacing w:line="276" w:lineRule="auto"/>
      </w:pPr>
      <w:r>
        <w:rPr>
          <w:rFonts w:hint="eastAsia"/>
        </w:rPr>
        <w:t xml:space="preserve">　　三、推动差异</w:t>
      </w:r>
      <w:proofErr w:type="gramStart"/>
      <w:r>
        <w:rPr>
          <w:rFonts w:hint="eastAsia"/>
        </w:rPr>
        <w:t>化执法</w:t>
      </w:r>
      <w:proofErr w:type="gramEnd"/>
      <w:r>
        <w:rPr>
          <w:rFonts w:hint="eastAsia"/>
        </w:rPr>
        <w:t>监管</w:t>
      </w:r>
    </w:p>
    <w:p w14:paraId="354B231B" w14:textId="77777777" w:rsidR="005E71CA" w:rsidRDefault="005E71CA" w:rsidP="00F31916">
      <w:pPr>
        <w:pStyle w:val="AD"/>
        <w:spacing w:line="276" w:lineRule="auto"/>
      </w:pPr>
      <w:r>
        <w:rPr>
          <w:rFonts w:hint="eastAsia"/>
        </w:rPr>
        <w:t xml:space="preserve">　　（六）减少现场执法检查次数。全面梳理分析本行政区域现场检查的种类、数量，大幅减少各类现场调研指导和执法检查次数。对正面清单企业原则上不主动进行现场调研指导，正面清单企业被列入本级生态环境部门组织的各类环保专项行动、专项检查范围的，以非现场方式为主开展执法检查。</w:t>
      </w:r>
    </w:p>
    <w:p w14:paraId="1E8E89B1" w14:textId="77777777" w:rsidR="005E71CA" w:rsidRDefault="005E71CA" w:rsidP="00F31916">
      <w:pPr>
        <w:pStyle w:val="AD"/>
        <w:spacing w:line="276" w:lineRule="auto"/>
      </w:pPr>
      <w:r>
        <w:rPr>
          <w:rFonts w:hint="eastAsia"/>
        </w:rPr>
        <w:t xml:space="preserve">　　（七）规范现场执法检查程序。明确对正面清单企业现场执法检查启动条件和程序，减少不必要的企业人员陪同检查和重复性提供材料，推行清单</w:t>
      </w:r>
      <w:proofErr w:type="gramStart"/>
      <w:r>
        <w:rPr>
          <w:rFonts w:hint="eastAsia"/>
        </w:rPr>
        <w:t>式现场</w:t>
      </w:r>
      <w:proofErr w:type="gramEnd"/>
      <w:r>
        <w:rPr>
          <w:rFonts w:hint="eastAsia"/>
        </w:rPr>
        <w:t>执法检查，鼓励探索现场执法事项事先告知制度，不得随意提高监管标准和要求。规范制作现场检查笔录等执法文书，按规定在移动执法等信息系统中填报。对群众举报投诉、媒体曝光、上级交办的问题线索，确需赴现场调查核实的，应经</w:t>
      </w:r>
      <w:proofErr w:type="gramStart"/>
      <w:r>
        <w:rPr>
          <w:rFonts w:hint="eastAsia"/>
        </w:rPr>
        <w:t>本执法</w:t>
      </w:r>
      <w:proofErr w:type="gramEnd"/>
      <w:r>
        <w:rPr>
          <w:rFonts w:hint="eastAsia"/>
        </w:rPr>
        <w:t>机构负责同志同意；对在线监测数据异常或超标等非现场执法检查中发现的问题线索，可由企业先行自查并提交书面报告和相关证明材料，经审核后认为还需赴现场调查核实的，经</w:t>
      </w:r>
      <w:proofErr w:type="gramStart"/>
      <w:r>
        <w:rPr>
          <w:rFonts w:hint="eastAsia"/>
        </w:rPr>
        <w:t>本执法</w:t>
      </w:r>
      <w:proofErr w:type="gramEnd"/>
      <w:r>
        <w:rPr>
          <w:rFonts w:hint="eastAsia"/>
        </w:rPr>
        <w:t>机构负责同志同意后，可进行现场执法检查。</w:t>
      </w:r>
    </w:p>
    <w:p w14:paraId="5D451EB2" w14:textId="77777777" w:rsidR="005E71CA" w:rsidRDefault="005E71CA" w:rsidP="00F31916">
      <w:pPr>
        <w:pStyle w:val="AD"/>
        <w:spacing w:line="276" w:lineRule="auto"/>
      </w:pPr>
      <w:r>
        <w:rPr>
          <w:rFonts w:hint="eastAsia"/>
        </w:rPr>
        <w:t xml:space="preserve">　　（八）健全非现场执法方式。进一步规范非现场执法程序和要求，制定相关程序规范。对正面清单企业实行差异化监管措施，对重点排污单位，通过污染源自动监控等物联网监控系统开展非现场监管；对其他企业，通过各类生态环境管理数据、自行监测数据或利用能源管理部门数据等开展非现场监管。充分发挥移动执法系统生态环境监管执法平台作用，依法通过全国排污许可证管理信息平台监控排污单位的污染物排放情况。鼓励企业向生态环境部门共享生产设施（</w:t>
      </w:r>
      <w:proofErr w:type="gramStart"/>
      <w:r>
        <w:rPr>
          <w:rFonts w:hint="eastAsia"/>
        </w:rPr>
        <w:t>含污染</w:t>
      </w:r>
      <w:proofErr w:type="gramEnd"/>
      <w:r>
        <w:rPr>
          <w:rFonts w:hint="eastAsia"/>
        </w:rPr>
        <w:t>防治设施）运行数据。积极利用无人机、无人船、</w:t>
      </w:r>
      <w:proofErr w:type="gramStart"/>
      <w:r>
        <w:rPr>
          <w:rFonts w:hint="eastAsia"/>
        </w:rPr>
        <w:t>走航车</w:t>
      </w:r>
      <w:proofErr w:type="gramEnd"/>
      <w:r>
        <w:rPr>
          <w:rFonts w:hint="eastAsia"/>
        </w:rPr>
        <w:t>、卫星遥感等手段开展非现场检查和巡查。加强自动监测数据应用管理和分析预警，及时进行预警提醒，精准发现违法行为。</w:t>
      </w:r>
    </w:p>
    <w:p w14:paraId="3FB772DF" w14:textId="77777777" w:rsidR="005E71CA" w:rsidRDefault="005E71CA" w:rsidP="00F31916">
      <w:pPr>
        <w:pStyle w:val="AD"/>
        <w:spacing w:line="276" w:lineRule="auto"/>
      </w:pPr>
      <w:r>
        <w:rPr>
          <w:rFonts w:hint="eastAsia"/>
        </w:rPr>
        <w:t xml:space="preserve">　　四、落实企业守法主体责任</w:t>
      </w:r>
    </w:p>
    <w:p w14:paraId="7BBEB78A" w14:textId="77777777" w:rsidR="005E71CA" w:rsidRDefault="005E71CA" w:rsidP="00F31916">
      <w:pPr>
        <w:pStyle w:val="AD"/>
        <w:spacing w:line="276" w:lineRule="auto"/>
      </w:pPr>
      <w:r>
        <w:rPr>
          <w:rFonts w:hint="eastAsia"/>
        </w:rPr>
        <w:t xml:space="preserve">　　（九）鼓励环境守法。可定期邀请正面清单企业交流座谈，及时听取企业诉求，梳理相关行业企业违法风险点，明确监管执法要求，加强普法宣传，增强企业行为预期。可根据企业需求，加强帮扶指导，及时提醒预警，引导专业机构为企业提供精细化环境管理服务，帮助企业提升环境风险管理能力。正面清单企业对因非主观过错导致的违法行为，主动报告并采取有效措施及时消除，或者对发现的环境风险隐患及时报告并妥善处置，未造成危害后果的，可依法</w:t>
      </w:r>
      <w:r>
        <w:rPr>
          <w:rFonts w:hint="eastAsia"/>
        </w:rPr>
        <w:lastRenderedPageBreak/>
        <w:t>不予行政处罚。正面清单企业初次环境违法且危害后果轻微并及时改正的，可依法不予行政处罚。</w:t>
      </w:r>
    </w:p>
    <w:p w14:paraId="5E9423DD" w14:textId="77777777" w:rsidR="005E71CA" w:rsidRDefault="005E71CA" w:rsidP="00F31916">
      <w:pPr>
        <w:pStyle w:val="AD"/>
        <w:spacing w:line="276" w:lineRule="auto"/>
      </w:pPr>
      <w:r>
        <w:rPr>
          <w:rFonts w:hint="eastAsia"/>
        </w:rPr>
        <w:t xml:space="preserve">　　（十）严惩环境违法。科学合理配置执法资源，将执法资源集中于恶意排污、涉嫌犯罪的企业，对污染重、风险高、守法意识弱的企业加大监管力度。正面清单企业因管理不善导致超标排放且未主动报告，或存在其他恶意违法行为的，要依法从严从重处罚，涉嫌犯罪的要依法移送公安机关，及时移出正面清单，列为“双随机、</w:t>
      </w:r>
      <w:proofErr w:type="gramStart"/>
      <w:r>
        <w:rPr>
          <w:rFonts w:hint="eastAsia"/>
        </w:rPr>
        <w:t>一</w:t>
      </w:r>
      <w:proofErr w:type="gramEnd"/>
      <w:r>
        <w:rPr>
          <w:rFonts w:hint="eastAsia"/>
        </w:rPr>
        <w:t>公开”特殊监管对象，并向社会公开。</w:t>
      </w:r>
    </w:p>
    <w:p w14:paraId="7430C380" w14:textId="77777777" w:rsidR="005E71CA" w:rsidRDefault="005E71CA" w:rsidP="00F31916">
      <w:pPr>
        <w:pStyle w:val="AD"/>
        <w:spacing w:line="276" w:lineRule="auto"/>
      </w:pPr>
      <w:r>
        <w:rPr>
          <w:rFonts w:hint="eastAsia"/>
        </w:rPr>
        <w:t xml:space="preserve">　　各级生态环境部门要切实加强组织领导，落实工作责任，畅通监督渠道，做细做实各项工作，确保正面清单制度落地见效，对正面清单工作中弄虚作假、失职渎职的，依法严肃追责问责。</w:t>
      </w:r>
      <w:r>
        <w:rPr>
          <w:rFonts w:hint="eastAsia"/>
        </w:rPr>
        <w:t>2021</w:t>
      </w:r>
      <w:r>
        <w:rPr>
          <w:rFonts w:hint="eastAsia"/>
        </w:rPr>
        <w:t>年</w:t>
      </w:r>
      <w:r>
        <w:rPr>
          <w:rFonts w:hint="eastAsia"/>
        </w:rPr>
        <w:t>6</w:t>
      </w:r>
      <w:r>
        <w:rPr>
          <w:rFonts w:hint="eastAsia"/>
        </w:rPr>
        <w:t>月底前，省级生态环境部门要完善正面清单管理制度，建立正面清单落实情况调度机制。</w:t>
      </w:r>
      <w:r>
        <w:rPr>
          <w:rFonts w:hint="eastAsia"/>
        </w:rPr>
        <w:t>2021</w:t>
      </w:r>
      <w:r>
        <w:rPr>
          <w:rFonts w:hint="eastAsia"/>
        </w:rPr>
        <w:t>年</w:t>
      </w:r>
      <w:r>
        <w:rPr>
          <w:rFonts w:hint="eastAsia"/>
        </w:rPr>
        <w:t>9</w:t>
      </w:r>
      <w:r>
        <w:rPr>
          <w:rFonts w:hint="eastAsia"/>
        </w:rPr>
        <w:t>月底前，设区的市级生态环境部门要完成现有正面清单企业清理核实，按程序做好纳入工作，并重新予以公布。此外，各级生态环境部门要定期评估正面清单落实情况，及时汇总正面清单企业现场执法检查数据，并研究逐步扩大正面清单企业数量。</w:t>
      </w:r>
    </w:p>
    <w:p w14:paraId="0DC90D20" w14:textId="1C15D957" w:rsidR="005E71CA" w:rsidRDefault="004909AB" w:rsidP="004909AB">
      <w:pPr>
        <w:pStyle w:val="AD"/>
        <w:spacing w:line="276" w:lineRule="auto"/>
      </w:pPr>
      <w:r>
        <w:rPr>
          <w:rFonts w:hint="eastAsia"/>
        </w:rPr>
        <w:t xml:space="preserve">　　</w:t>
      </w:r>
      <w:r w:rsidR="005E71CA">
        <w:rPr>
          <w:rFonts w:hint="eastAsia"/>
        </w:rPr>
        <w:t>我部此前关于正面清单发文中与本意见不一致的，以本意见为准。</w:t>
      </w:r>
    </w:p>
    <w:p w14:paraId="797A5CBC" w14:textId="77777777" w:rsidR="007D54F3" w:rsidRPr="004909AB" w:rsidRDefault="007D54F3" w:rsidP="004909AB">
      <w:pPr>
        <w:pStyle w:val="AD"/>
        <w:spacing w:line="276" w:lineRule="auto"/>
        <w:rPr>
          <w:rFonts w:hint="eastAsia"/>
        </w:rPr>
      </w:pPr>
    </w:p>
    <w:p w14:paraId="75092F68" w14:textId="77777777" w:rsidR="005E71CA" w:rsidRDefault="005E71CA" w:rsidP="007D54F3">
      <w:pPr>
        <w:pStyle w:val="AD"/>
        <w:spacing w:line="276" w:lineRule="auto"/>
        <w:jc w:val="right"/>
      </w:pPr>
      <w:r>
        <w:rPr>
          <w:rFonts w:hint="eastAsia"/>
        </w:rPr>
        <w:t xml:space="preserve">　　生态环境部办公厅</w:t>
      </w:r>
    </w:p>
    <w:p w14:paraId="23C4FE5D" w14:textId="4A0F0C67" w:rsidR="00B15193" w:rsidRDefault="005E71CA" w:rsidP="007D54F3">
      <w:pPr>
        <w:pStyle w:val="AD"/>
        <w:spacing w:line="276" w:lineRule="auto"/>
        <w:jc w:val="right"/>
      </w:pPr>
      <w:r>
        <w:rPr>
          <w:rFonts w:hint="eastAsia"/>
        </w:rPr>
        <w:t xml:space="preserve">　　</w:t>
      </w:r>
      <w:r>
        <w:rPr>
          <w:rFonts w:hint="eastAsia"/>
        </w:rPr>
        <w:t>2021</w:t>
      </w:r>
      <w:r>
        <w:rPr>
          <w:rFonts w:hint="eastAsia"/>
        </w:rPr>
        <w:t>年</w:t>
      </w:r>
      <w:r>
        <w:rPr>
          <w:rFonts w:hint="eastAsia"/>
        </w:rPr>
        <w:t>4</w:t>
      </w:r>
      <w:r>
        <w:rPr>
          <w:rFonts w:hint="eastAsia"/>
        </w:rPr>
        <w:t>月</w:t>
      </w:r>
      <w:r>
        <w:rPr>
          <w:rFonts w:hint="eastAsia"/>
        </w:rPr>
        <w:t>6</w:t>
      </w:r>
      <w:r>
        <w:rPr>
          <w:rFonts w:hint="eastAsia"/>
        </w:rPr>
        <w:t>日</w:t>
      </w:r>
    </w:p>
    <w:p w14:paraId="3E5BAED9" w14:textId="5E4F9618" w:rsidR="005E71CA" w:rsidRDefault="005E71CA" w:rsidP="00F31916">
      <w:pPr>
        <w:pStyle w:val="AD"/>
        <w:spacing w:line="276" w:lineRule="auto"/>
      </w:pPr>
    </w:p>
    <w:p w14:paraId="2E3DF9B3" w14:textId="1AA11FD9" w:rsidR="005E71CA" w:rsidRDefault="005E71CA" w:rsidP="00F31916">
      <w:pPr>
        <w:pStyle w:val="AD"/>
        <w:spacing w:line="276" w:lineRule="auto"/>
      </w:pPr>
    </w:p>
    <w:p w14:paraId="324F76D0" w14:textId="6150B7D6" w:rsidR="005E71CA" w:rsidRDefault="005E71CA" w:rsidP="00F31916">
      <w:pPr>
        <w:pStyle w:val="AD"/>
        <w:spacing w:line="276" w:lineRule="auto"/>
      </w:pPr>
      <w:r>
        <w:rPr>
          <w:rFonts w:hint="eastAsia"/>
        </w:rPr>
        <w:t>信息来源：</w:t>
      </w:r>
      <w:hyperlink r:id="rId6" w:history="1">
        <w:r w:rsidRPr="00660C60">
          <w:rPr>
            <w:rStyle w:val="a9"/>
          </w:rPr>
          <w:t>http://www.mee.gov.cn/xxgk2018/xxgk/xxgk05/202104/t20210423_830095.html</w:t>
        </w:r>
      </w:hyperlink>
    </w:p>
    <w:p w14:paraId="0DC7E9F4" w14:textId="77777777" w:rsidR="005E71CA" w:rsidRPr="005E71CA" w:rsidRDefault="005E71CA" w:rsidP="00F31916">
      <w:pPr>
        <w:pStyle w:val="AD"/>
        <w:spacing w:line="276" w:lineRule="auto"/>
      </w:pPr>
    </w:p>
    <w:sectPr w:rsidR="005E71CA" w:rsidRPr="005E71CA" w:rsidSect="005F7C76">
      <w:pgSz w:w="11906" w:h="16838" w:code="9"/>
      <w:pgMar w:top="1418" w:right="1418" w:bottom="1134" w:left="1418" w:header="720" w:footer="72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2617BF" w14:textId="77777777" w:rsidR="00683EFF" w:rsidRDefault="00683EFF" w:rsidP="00C20A6A">
      <w:pPr>
        <w:spacing w:line="240" w:lineRule="auto"/>
      </w:pPr>
      <w:r>
        <w:separator/>
      </w:r>
    </w:p>
  </w:endnote>
  <w:endnote w:type="continuationSeparator" w:id="0">
    <w:p w14:paraId="45D236DA" w14:textId="77777777" w:rsidR="00683EFF" w:rsidRDefault="00683EFF" w:rsidP="00C20A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4172E8" w14:textId="77777777" w:rsidR="00683EFF" w:rsidRDefault="00683EFF" w:rsidP="00C20A6A">
      <w:pPr>
        <w:spacing w:line="240" w:lineRule="auto"/>
      </w:pPr>
      <w:r>
        <w:separator/>
      </w:r>
    </w:p>
  </w:footnote>
  <w:footnote w:type="continuationSeparator" w:id="0">
    <w:p w14:paraId="160C3342" w14:textId="77777777" w:rsidR="00683EFF" w:rsidRDefault="00683EFF" w:rsidP="00C20A6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636238"/>
    <w:rsid w:val="000F4C6A"/>
    <w:rsid w:val="00176A25"/>
    <w:rsid w:val="001C4C6F"/>
    <w:rsid w:val="003D27E2"/>
    <w:rsid w:val="004909AB"/>
    <w:rsid w:val="005E71CA"/>
    <w:rsid w:val="005F7C76"/>
    <w:rsid w:val="00636238"/>
    <w:rsid w:val="00683EFF"/>
    <w:rsid w:val="007D54F3"/>
    <w:rsid w:val="007D7BDB"/>
    <w:rsid w:val="007F1A83"/>
    <w:rsid w:val="009B2D0C"/>
    <w:rsid w:val="00A548E7"/>
    <w:rsid w:val="00AC63C2"/>
    <w:rsid w:val="00B15193"/>
    <w:rsid w:val="00B731F1"/>
    <w:rsid w:val="00C20A6A"/>
    <w:rsid w:val="00C22624"/>
    <w:rsid w:val="00D02718"/>
    <w:rsid w:val="00E04257"/>
    <w:rsid w:val="00F319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FAD01E"/>
  <w15:chartTrackingRefBased/>
  <w15:docId w15:val="{DBA61E86-2C13-4226-AEFE-8F64BDD6F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2624"/>
    <w:pPr>
      <w:widowControl w:val="0"/>
      <w:overflowPunct w:val="0"/>
      <w:spacing w:line="280" w:lineRule="atLeast"/>
      <w:jc w:val="both"/>
    </w:pPr>
    <w:rPr>
      <w:rFonts w:ascii="Arial" w:eastAsia="宋体"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D">
    <w:name w:val="AD"/>
    <w:basedOn w:val="a"/>
    <w:rsid w:val="00176A25"/>
  </w:style>
  <w:style w:type="paragraph" w:customStyle="1" w:styleId="AX">
    <w:name w:val="AX"/>
    <w:basedOn w:val="a"/>
    <w:rsid w:val="00176A25"/>
    <w:pPr>
      <w:ind w:hangingChars="405" w:hanging="405"/>
    </w:pPr>
  </w:style>
  <w:style w:type="paragraph" w:customStyle="1" w:styleId="AY">
    <w:name w:val="AY"/>
    <w:basedOn w:val="a"/>
    <w:rsid w:val="00176A25"/>
    <w:pPr>
      <w:ind w:left="851"/>
    </w:pPr>
  </w:style>
  <w:style w:type="paragraph" w:customStyle="1" w:styleId="BX">
    <w:name w:val="BX"/>
    <w:basedOn w:val="a"/>
    <w:rsid w:val="00176A25"/>
    <w:pPr>
      <w:ind w:left="1702" w:hanging="851"/>
    </w:pPr>
  </w:style>
  <w:style w:type="paragraph" w:customStyle="1" w:styleId="BY">
    <w:name w:val="BY"/>
    <w:basedOn w:val="a"/>
    <w:rsid w:val="00176A25"/>
    <w:pPr>
      <w:ind w:left="1701"/>
    </w:pPr>
  </w:style>
  <w:style w:type="paragraph" w:customStyle="1" w:styleId="CX">
    <w:name w:val="CX"/>
    <w:basedOn w:val="a"/>
    <w:rsid w:val="00176A25"/>
    <w:pPr>
      <w:ind w:left="2552" w:hanging="851"/>
    </w:pPr>
  </w:style>
  <w:style w:type="paragraph" w:customStyle="1" w:styleId="CY">
    <w:name w:val="CY"/>
    <w:basedOn w:val="a"/>
    <w:rsid w:val="00176A25"/>
    <w:pPr>
      <w:ind w:left="2552"/>
    </w:pPr>
  </w:style>
  <w:style w:type="paragraph" w:customStyle="1" w:styleId="DX">
    <w:name w:val="DX"/>
    <w:basedOn w:val="a"/>
    <w:rsid w:val="00176A25"/>
    <w:pPr>
      <w:ind w:left="3403" w:hanging="851"/>
    </w:pPr>
  </w:style>
  <w:style w:type="paragraph" w:customStyle="1" w:styleId="DY">
    <w:name w:val="DY"/>
    <w:basedOn w:val="a"/>
    <w:rsid w:val="00176A25"/>
    <w:pPr>
      <w:ind w:left="3402"/>
    </w:pPr>
  </w:style>
  <w:style w:type="paragraph" w:customStyle="1" w:styleId="H1">
    <w:name w:val="H1"/>
    <w:basedOn w:val="a"/>
    <w:next w:val="a"/>
    <w:rsid w:val="000F4C6A"/>
    <w:pPr>
      <w:keepNext/>
      <w:keepLines/>
      <w:ind w:hangingChars="405" w:hanging="896"/>
      <w:jc w:val="left"/>
      <w:outlineLvl w:val="0"/>
    </w:pPr>
    <w:rPr>
      <w:b/>
    </w:rPr>
  </w:style>
  <w:style w:type="paragraph" w:customStyle="1" w:styleId="H2">
    <w:name w:val="H2"/>
    <w:basedOn w:val="a"/>
    <w:next w:val="a"/>
    <w:link w:val="H2Char"/>
    <w:rsid w:val="001C4C6F"/>
    <w:pPr>
      <w:keepNext/>
      <w:keepLines/>
      <w:ind w:left="1702" w:hanging="851"/>
      <w:jc w:val="left"/>
      <w:outlineLvl w:val="1"/>
    </w:pPr>
    <w:rPr>
      <w:b/>
    </w:rPr>
  </w:style>
  <w:style w:type="paragraph" w:customStyle="1" w:styleId="H3">
    <w:name w:val="H3"/>
    <w:basedOn w:val="a"/>
    <w:next w:val="a"/>
    <w:link w:val="H3Char"/>
    <w:rsid w:val="001C4C6F"/>
    <w:pPr>
      <w:keepNext/>
      <w:keepLines/>
      <w:ind w:left="2552" w:hanging="851"/>
      <w:jc w:val="left"/>
      <w:outlineLvl w:val="2"/>
    </w:pPr>
    <w:rPr>
      <w:b/>
    </w:rPr>
  </w:style>
  <w:style w:type="paragraph" w:customStyle="1" w:styleId="H4">
    <w:name w:val="H4"/>
    <w:basedOn w:val="a"/>
    <w:next w:val="a"/>
    <w:link w:val="H4Char"/>
    <w:rsid w:val="001C4C6F"/>
    <w:pPr>
      <w:keepNext/>
      <w:keepLines/>
      <w:ind w:left="3403" w:hanging="851"/>
      <w:jc w:val="left"/>
      <w:outlineLvl w:val="3"/>
    </w:pPr>
    <w:rPr>
      <w:b/>
    </w:rPr>
  </w:style>
  <w:style w:type="paragraph" w:customStyle="1" w:styleId="H5">
    <w:name w:val="H5"/>
    <w:basedOn w:val="a"/>
    <w:next w:val="a"/>
    <w:rsid w:val="001C4C6F"/>
    <w:pPr>
      <w:keepNext/>
      <w:keepLines/>
      <w:ind w:left="4253" w:hanging="851"/>
      <w:jc w:val="left"/>
      <w:outlineLvl w:val="4"/>
    </w:pPr>
    <w:rPr>
      <w:b/>
    </w:rPr>
  </w:style>
  <w:style w:type="paragraph" w:customStyle="1" w:styleId="H1M">
    <w:name w:val="H1_M"/>
    <w:basedOn w:val="a"/>
    <w:next w:val="a"/>
    <w:rsid w:val="000F4C6A"/>
    <w:pPr>
      <w:keepNext/>
      <w:keepLines/>
      <w:ind w:hangingChars="405" w:hanging="403"/>
      <w:jc w:val="center"/>
      <w:outlineLvl w:val="0"/>
    </w:pPr>
    <w:rPr>
      <w:b/>
    </w:rPr>
  </w:style>
  <w:style w:type="character" w:customStyle="1" w:styleId="H2Char">
    <w:name w:val="H2 Char"/>
    <w:basedOn w:val="a0"/>
    <w:link w:val="H2"/>
    <w:rsid w:val="001C4C6F"/>
    <w:rPr>
      <w:rFonts w:ascii="Arial" w:eastAsia="宋体" w:hAnsi="Arial"/>
      <w:b/>
      <w:sz w:val="22"/>
    </w:rPr>
  </w:style>
  <w:style w:type="character" w:customStyle="1" w:styleId="H3Char">
    <w:name w:val="H3 Char"/>
    <w:basedOn w:val="a0"/>
    <w:link w:val="H3"/>
    <w:rsid w:val="001C4C6F"/>
    <w:rPr>
      <w:rFonts w:ascii="Arial" w:eastAsia="宋体" w:hAnsi="Arial"/>
      <w:b/>
      <w:sz w:val="22"/>
    </w:rPr>
  </w:style>
  <w:style w:type="character" w:customStyle="1" w:styleId="H4Char">
    <w:name w:val="H4 Char"/>
    <w:basedOn w:val="a0"/>
    <w:link w:val="H4"/>
    <w:rsid w:val="001C4C6F"/>
    <w:rPr>
      <w:rFonts w:ascii="Arial" w:eastAsia="宋体" w:hAnsi="Arial"/>
      <w:b/>
      <w:sz w:val="22"/>
    </w:rPr>
  </w:style>
  <w:style w:type="paragraph" w:styleId="a3">
    <w:name w:val="header"/>
    <w:basedOn w:val="a"/>
    <w:link w:val="a4"/>
    <w:uiPriority w:val="99"/>
    <w:unhideWhenUsed/>
    <w:rsid w:val="00C20A6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C20A6A"/>
    <w:rPr>
      <w:rFonts w:ascii="Arial" w:eastAsia="宋体" w:hAnsi="Arial"/>
      <w:sz w:val="18"/>
      <w:szCs w:val="18"/>
    </w:rPr>
  </w:style>
  <w:style w:type="paragraph" w:styleId="a5">
    <w:name w:val="footer"/>
    <w:basedOn w:val="a"/>
    <w:link w:val="a6"/>
    <w:uiPriority w:val="99"/>
    <w:unhideWhenUsed/>
    <w:rsid w:val="00C20A6A"/>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C20A6A"/>
    <w:rPr>
      <w:rFonts w:ascii="Arial" w:eastAsia="宋体" w:hAnsi="Arial"/>
      <w:sz w:val="18"/>
      <w:szCs w:val="18"/>
    </w:rPr>
  </w:style>
  <w:style w:type="paragraph" w:styleId="a7">
    <w:name w:val="Date"/>
    <w:basedOn w:val="a"/>
    <w:next w:val="a"/>
    <w:link w:val="a8"/>
    <w:uiPriority w:val="99"/>
    <w:semiHidden/>
    <w:unhideWhenUsed/>
    <w:rsid w:val="005E71CA"/>
    <w:pPr>
      <w:ind w:leftChars="2500" w:left="100"/>
    </w:pPr>
  </w:style>
  <w:style w:type="character" w:customStyle="1" w:styleId="a8">
    <w:name w:val="日期 字符"/>
    <w:basedOn w:val="a0"/>
    <w:link w:val="a7"/>
    <w:uiPriority w:val="99"/>
    <w:semiHidden/>
    <w:rsid w:val="005E71CA"/>
    <w:rPr>
      <w:rFonts w:ascii="Arial" w:eastAsia="宋体" w:hAnsi="Arial"/>
      <w:sz w:val="22"/>
    </w:rPr>
  </w:style>
  <w:style w:type="character" w:styleId="a9">
    <w:name w:val="Hyperlink"/>
    <w:basedOn w:val="a0"/>
    <w:uiPriority w:val="99"/>
    <w:unhideWhenUsed/>
    <w:rsid w:val="005E71CA"/>
    <w:rPr>
      <w:color w:val="0000FF" w:themeColor="hyperlink"/>
      <w:u w:val="single"/>
    </w:rPr>
  </w:style>
  <w:style w:type="character" w:styleId="aa">
    <w:name w:val="Unresolved Mention"/>
    <w:basedOn w:val="a0"/>
    <w:uiPriority w:val="99"/>
    <w:semiHidden/>
    <w:unhideWhenUsed/>
    <w:rsid w:val="005E71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e.gov.cn/xxgk2018/xxgk/xxgk05/202104/t20210423_830095.htm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497</Words>
  <Characters>2836</Characters>
  <Application>Microsoft Office Word</Application>
  <DocSecurity>0</DocSecurity>
  <Lines>23</Lines>
  <Paragraphs>6</Paragraphs>
  <ScaleCrop>false</ScaleCrop>
  <Company/>
  <LinksUpToDate>false</LinksUpToDate>
  <CharactersWithSpaces>3327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HHP</dc:creator>
  <cp:keywords/>
  <dc:description/>
  <cp:lastModifiedBy>Yanlu Shen</cp:lastModifiedBy>
  <cp:revision>8</cp:revision>
  <dcterms:created xsi:type="dcterms:W3CDTF">2021-04-29T09:55:00Z</dcterms:created>
  <dcterms:modified xsi:type="dcterms:W3CDTF">2021-04-29T12:11:00Z</dcterms:modified>
</cp:coreProperties>
</file>