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AB981" w14:textId="77777777" w:rsidR="000D5F1D" w:rsidRPr="00EB789E" w:rsidRDefault="000D5F1D" w:rsidP="008013B9">
      <w:pPr>
        <w:pStyle w:val="AD"/>
        <w:spacing w:line="276" w:lineRule="auto"/>
        <w:jc w:val="center"/>
        <w:rPr>
          <w:b/>
          <w:bCs/>
          <w:color w:val="E36C0A" w:themeColor="accent6" w:themeShade="BF"/>
          <w:sz w:val="32"/>
          <w:szCs w:val="32"/>
        </w:rPr>
      </w:pPr>
      <w:r w:rsidRPr="00EB789E">
        <w:rPr>
          <w:rFonts w:hint="eastAsia"/>
          <w:b/>
          <w:bCs/>
          <w:color w:val="E36C0A" w:themeColor="accent6" w:themeShade="BF"/>
          <w:sz w:val="32"/>
          <w:szCs w:val="32"/>
        </w:rPr>
        <w:t>关于</w:t>
      </w:r>
      <w:r w:rsidRPr="00EB789E">
        <w:rPr>
          <w:rFonts w:hint="eastAsia"/>
          <w:b/>
          <w:bCs/>
          <w:color w:val="E36C0A" w:themeColor="accent6" w:themeShade="BF"/>
          <w:sz w:val="32"/>
          <w:szCs w:val="32"/>
        </w:rPr>
        <w:t>2021-2030</w:t>
      </w:r>
      <w:r w:rsidRPr="00EB789E">
        <w:rPr>
          <w:rFonts w:hint="eastAsia"/>
          <w:b/>
          <w:bCs/>
          <w:color w:val="E36C0A" w:themeColor="accent6" w:themeShade="BF"/>
          <w:sz w:val="32"/>
          <w:szCs w:val="32"/>
        </w:rPr>
        <w:t>年支持新型显示产业发展进口税收政策管理办法的通知</w:t>
      </w:r>
    </w:p>
    <w:p w14:paraId="4B1B82B9" w14:textId="77777777" w:rsidR="000D5F1D" w:rsidRDefault="000D5F1D" w:rsidP="008013B9">
      <w:pPr>
        <w:pStyle w:val="AD"/>
        <w:spacing w:line="276" w:lineRule="auto"/>
        <w:jc w:val="center"/>
      </w:pPr>
      <w:r>
        <w:rPr>
          <w:rFonts w:hint="eastAsia"/>
        </w:rPr>
        <w:t>财关税〔</w:t>
      </w:r>
      <w:r>
        <w:rPr>
          <w:rFonts w:hint="eastAsia"/>
        </w:rPr>
        <w:t>2021</w:t>
      </w:r>
      <w:r>
        <w:rPr>
          <w:rFonts w:hint="eastAsia"/>
        </w:rPr>
        <w:t>〕</w:t>
      </w:r>
      <w:r>
        <w:rPr>
          <w:rFonts w:hint="eastAsia"/>
        </w:rPr>
        <w:t>20</w:t>
      </w:r>
      <w:r>
        <w:rPr>
          <w:rFonts w:hint="eastAsia"/>
        </w:rPr>
        <w:t>号</w:t>
      </w:r>
    </w:p>
    <w:p w14:paraId="7972CC85" w14:textId="77777777" w:rsidR="000D5F1D" w:rsidRDefault="000D5F1D" w:rsidP="008013B9">
      <w:pPr>
        <w:pStyle w:val="AD"/>
        <w:spacing w:line="276" w:lineRule="auto"/>
      </w:pPr>
    </w:p>
    <w:p w14:paraId="441CF7F0" w14:textId="77777777" w:rsidR="000D5F1D" w:rsidRDefault="000D5F1D" w:rsidP="008013B9">
      <w:pPr>
        <w:pStyle w:val="AD"/>
        <w:spacing w:line="276" w:lineRule="auto"/>
      </w:pPr>
      <w:r>
        <w:rPr>
          <w:rFonts w:hint="eastAsia"/>
        </w:rPr>
        <w:t>各省、自治区、直辖市、计划单列市财政厅（局）、发展改革委、工业和信息化主管部门，新疆生产建设兵团财政局、发展改革委、工业和信息化局，海关总署广东分署、各直属海关，国家税务总局各省、自治区、直辖市、计划单列市税务局，财政部各地监管局，国家税务总局驻各地特派员办事处：</w:t>
      </w:r>
    </w:p>
    <w:p w14:paraId="26608223" w14:textId="77777777" w:rsidR="000D5F1D" w:rsidRDefault="000D5F1D" w:rsidP="008013B9">
      <w:pPr>
        <w:pStyle w:val="AD"/>
        <w:spacing w:line="276" w:lineRule="auto"/>
      </w:pPr>
    </w:p>
    <w:p w14:paraId="5F6D4B49" w14:textId="77777777" w:rsidR="000D5F1D" w:rsidRDefault="000D5F1D" w:rsidP="008013B9">
      <w:pPr>
        <w:pStyle w:val="AD"/>
        <w:spacing w:line="276" w:lineRule="auto"/>
      </w:pPr>
      <w:r>
        <w:rPr>
          <w:rFonts w:hint="eastAsia"/>
        </w:rPr>
        <w:t xml:space="preserve">　　为落实《财政部</w:t>
      </w:r>
      <w:r>
        <w:rPr>
          <w:rFonts w:hint="eastAsia"/>
        </w:rPr>
        <w:t xml:space="preserve"> </w:t>
      </w:r>
      <w:r>
        <w:rPr>
          <w:rFonts w:hint="eastAsia"/>
        </w:rPr>
        <w:t>海关总署</w:t>
      </w:r>
      <w:r>
        <w:rPr>
          <w:rFonts w:hint="eastAsia"/>
        </w:rPr>
        <w:t xml:space="preserve"> </w:t>
      </w:r>
      <w:r>
        <w:rPr>
          <w:rFonts w:hint="eastAsia"/>
        </w:rPr>
        <w:t>税务总局关于</w:t>
      </w:r>
      <w:r>
        <w:rPr>
          <w:rFonts w:hint="eastAsia"/>
        </w:rPr>
        <w:t>2021-2030</w:t>
      </w:r>
      <w:r>
        <w:rPr>
          <w:rFonts w:hint="eastAsia"/>
        </w:rPr>
        <w:t>年支持新型显示产业发展进口税收政策的通知》（财关税〔</w:t>
      </w:r>
      <w:r>
        <w:rPr>
          <w:rFonts w:hint="eastAsia"/>
        </w:rPr>
        <w:t>2021</w:t>
      </w:r>
      <w:r>
        <w:rPr>
          <w:rFonts w:hint="eastAsia"/>
        </w:rPr>
        <w:t>〕</w:t>
      </w:r>
      <w:r>
        <w:rPr>
          <w:rFonts w:hint="eastAsia"/>
        </w:rPr>
        <w:t>19</w:t>
      </w:r>
      <w:r>
        <w:rPr>
          <w:rFonts w:hint="eastAsia"/>
        </w:rPr>
        <w:t>号，以下简称《通知》），现将政策管理办法通知如下：</w:t>
      </w:r>
    </w:p>
    <w:p w14:paraId="7EEE0FCD" w14:textId="77777777" w:rsidR="000D5F1D" w:rsidRDefault="000D5F1D" w:rsidP="008013B9">
      <w:pPr>
        <w:pStyle w:val="AD"/>
        <w:spacing w:line="276" w:lineRule="auto"/>
      </w:pPr>
    </w:p>
    <w:p w14:paraId="0DE114FA" w14:textId="77777777" w:rsidR="000D5F1D" w:rsidRDefault="000D5F1D" w:rsidP="008013B9">
      <w:pPr>
        <w:pStyle w:val="AD"/>
        <w:spacing w:line="276" w:lineRule="auto"/>
      </w:pPr>
      <w:r>
        <w:rPr>
          <w:rFonts w:hint="eastAsia"/>
        </w:rPr>
        <w:t xml:space="preserve">　　一、国家发展改革委会同工业和信息化部、财政部、海关总署、税务总局制定并联合印发享受免征进口关税的新型显示器件生产企业和新型显示产业的关键原材料、零配件生产企业名单。</w:t>
      </w:r>
    </w:p>
    <w:p w14:paraId="0EEE64B5" w14:textId="77777777" w:rsidR="000D5F1D" w:rsidRDefault="000D5F1D" w:rsidP="008013B9">
      <w:pPr>
        <w:pStyle w:val="AD"/>
        <w:spacing w:line="276" w:lineRule="auto"/>
      </w:pPr>
    </w:p>
    <w:p w14:paraId="6A9A3BD5" w14:textId="77777777" w:rsidR="000D5F1D" w:rsidRDefault="000D5F1D" w:rsidP="008013B9">
      <w:pPr>
        <w:pStyle w:val="AD"/>
        <w:spacing w:line="276" w:lineRule="auto"/>
      </w:pPr>
      <w:r>
        <w:rPr>
          <w:rFonts w:hint="eastAsia"/>
        </w:rPr>
        <w:t xml:space="preserve">　　二、工业和信息化部会同国家发展改革委、财政部、海关总署、税务总局制定并联合印发国内不能生产或性能不能满足需求的自用生产性（含研发用）原材料、消耗品和净化室配套系统、生产设备（包括进口设备和国产设备）零配件的免税进口商品清单。</w:t>
      </w:r>
    </w:p>
    <w:p w14:paraId="39F6508B" w14:textId="77777777" w:rsidR="000D5F1D" w:rsidRDefault="000D5F1D" w:rsidP="008013B9">
      <w:pPr>
        <w:pStyle w:val="AD"/>
        <w:spacing w:line="276" w:lineRule="auto"/>
      </w:pPr>
    </w:p>
    <w:p w14:paraId="397CA922" w14:textId="77777777" w:rsidR="000D5F1D" w:rsidRDefault="000D5F1D" w:rsidP="008013B9">
      <w:pPr>
        <w:pStyle w:val="AD"/>
        <w:spacing w:line="276" w:lineRule="auto"/>
      </w:pPr>
      <w:r>
        <w:rPr>
          <w:rFonts w:hint="eastAsia"/>
        </w:rPr>
        <w:t xml:space="preserve">　　三、国家发展改革委会同工业和信息化部制定可享受进口新设备进口环节增值税分期纳税的新型显示器件重大项目标准和享受分期纳税承建企业的条件，并根据上述标准、条件确定新型显示器件重大项目建议名单和承建企业建议名单，函告财政部，抄送海关总署、税务总局。财政部会同海关总署、税务总局确定新型显示器件重大项目名单和承建企业名单，通知省级（包括省、自治区、直辖市、计划单列市、新疆生产建设兵团，下同）财政厅（局）、企业所在地直属海关、省级税务局。</w:t>
      </w:r>
    </w:p>
    <w:p w14:paraId="7E713F82" w14:textId="77777777" w:rsidR="000D5F1D" w:rsidRDefault="000D5F1D" w:rsidP="008013B9">
      <w:pPr>
        <w:pStyle w:val="AD"/>
        <w:spacing w:line="276" w:lineRule="auto"/>
      </w:pPr>
    </w:p>
    <w:p w14:paraId="599E6D57" w14:textId="77777777" w:rsidR="000D5F1D" w:rsidRDefault="000D5F1D" w:rsidP="008013B9">
      <w:pPr>
        <w:pStyle w:val="AD"/>
        <w:spacing w:line="276" w:lineRule="auto"/>
      </w:pPr>
      <w:r>
        <w:rPr>
          <w:rFonts w:hint="eastAsia"/>
        </w:rPr>
        <w:t xml:space="preserve">　　承建企业应于承建的新型显示器件重大项目项下申请享受分期纳税的首台新设备进口</w:t>
      </w:r>
      <w:r>
        <w:rPr>
          <w:rFonts w:hint="eastAsia"/>
        </w:rPr>
        <w:t>3</w:t>
      </w:r>
      <w:r>
        <w:rPr>
          <w:rFonts w:hint="eastAsia"/>
        </w:rPr>
        <w:t>个月前，向省级财政厅（局）提出申请，附项目投资金额、进口设备时间、年度进口新设备金额、年度进口新设备进口环节增值税额、税款担保方案等信息，抄送企业所在地直属海关、省级税务局。省级财政厅（局）会同企业所在地直属海关、省级税务局初核后报送财政部，抄送海关总署、税务总局。</w:t>
      </w:r>
    </w:p>
    <w:p w14:paraId="2DD57A0C" w14:textId="77777777" w:rsidR="000D5F1D" w:rsidRDefault="000D5F1D" w:rsidP="008013B9">
      <w:pPr>
        <w:pStyle w:val="AD"/>
        <w:spacing w:line="276" w:lineRule="auto"/>
      </w:pPr>
    </w:p>
    <w:p w14:paraId="71B7F739" w14:textId="77777777" w:rsidR="000D5F1D" w:rsidRDefault="000D5F1D" w:rsidP="008013B9">
      <w:pPr>
        <w:pStyle w:val="AD"/>
        <w:spacing w:line="276" w:lineRule="auto"/>
      </w:pPr>
      <w:r>
        <w:rPr>
          <w:rFonts w:hint="eastAsia"/>
        </w:rPr>
        <w:t xml:space="preserve">　　财政部会同海关总署、税务总局确定新型显示器件重大项目的分期纳税方案（包括项目名称、承建企业名称、分期纳税起止时间、分期纳税总税额、每季度纳税额等），通知省级财政厅（局）、企业所在地直属海关、省级税务局，由企业所在地直属海关告知相关企业。</w:t>
      </w:r>
    </w:p>
    <w:p w14:paraId="39942FE2" w14:textId="77777777" w:rsidR="000D5F1D" w:rsidRDefault="000D5F1D" w:rsidP="008013B9">
      <w:pPr>
        <w:pStyle w:val="AD"/>
        <w:spacing w:line="276" w:lineRule="auto"/>
      </w:pPr>
    </w:p>
    <w:p w14:paraId="04FDB36B" w14:textId="77777777" w:rsidR="000D5F1D" w:rsidRDefault="000D5F1D" w:rsidP="008013B9">
      <w:pPr>
        <w:pStyle w:val="AD"/>
        <w:spacing w:line="276" w:lineRule="auto"/>
      </w:pPr>
      <w:r>
        <w:rPr>
          <w:rFonts w:hint="eastAsia"/>
        </w:rPr>
        <w:t xml:space="preserve">　　分期纳税方案实施中，如项目名称发生变更，承建企业发生名称、经营范围变更等情形的，</w:t>
      </w:r>
      <w:r>
        <w:rPr>
          <w:rFonts w:hint="eastAsia"/>
        </w:rPr>
        <w:lastRenderedPageBreak/>
        <w:t>承建企业应在完成变更登记之日起</w:t>
      </w:r>
      <w:r>
        <w:rPr>
          <w:rFonts w:hint="eastAsia"/>
        </w:rPr>
        <w:t>60</w:t>
      </w:r>
      <w:r>
        <w:rPr>
          <w:rFonts w:hint="eastAsia"/>
        </w:rPr>
        <w:t>日内，向省级财政厅（局）、企业所在地直属海关、省级税务局报送变更情况说明，申请变更分期纳税方案相应内容。省级财政厅（局）会同企业所在地直属海关、省级税务局确定变更结果，并由省级财政厅（局）函告企业所在地直属海关，抄送省级税务局，报财政部、海关总署、税务总局备案。企业所在地直属海关将变更结果告知承建企业。承建企业超过本款前述时间报送变更情况说明的，省级财政厅（局）、企业所在地直属海关、省级税务局不予受理，该项目不再享受分期纳税，已进口设备的未缴纳税款应在完成变更登记次月起</w:t>
      </w:r>
      <w:r>
        <w:rPr>
          <w:rFonts w:hint="eastAsia"/>
        </w:rPr>
        <w:t>3</w:t>
      </w:r>
      <w:r>
        <w:rPr>
          <w:rFonts w:hint="eastAsia"/>
        </w:rPr>
        <w:t>个月内缴纳完毕。</w:t>
      </w:r>
    </w:p>
    <w:p w14:paraId="13D8B9D5" w14:textId="77777777" w:rsidR="000D5F1D" w:rsidRDefault="000D5F1D" w:rsidP="008013B9">
      <w:pPr>
        <w:pStyle w:val="AD"/>
        <w:spacing w:line="276" w:lineRule="auto"/>
      </w:pPr>
    </w:p>
    <w:p w14:paraId="7C5DEF6D" w14:textId="77777777" w:rsidR="000D5F1D" w:rsidRDefault="000D5F1D" w:rsidP="008013B9">
      <w:pPr>
        <w:pStyle w:val="AD"/>
        <w:spacing w:line="276" w:lineRule="auto"/>
      </w:pPr>
      <w:r>
        <w:rPr>
          <w:rFonts w:hint="eastAsia"/>
        </w:rPr>
        <w:t xml:space="preserve">　　享受分期纳税的进口新设备，应在企业所在地直属海关关区内申报进口。按海关事务担保的规定，承建企业对未缴纳的税款应提供海关认可的税款担保。海关对准予分期缴纳的税款不予征收滞纳金。承建企业在最后一次纳税时，由海关完成该项目全部应纳税款的汇算清缴。如违反规定，逾期未及时缴纳税款的，该项目不再享受分期纳税，已进口设备的未缴纳税款应在逾期未缴纳情形发生次月起</w:t>
      </w:r>
      <w:r>
        <w:rPr>
          <w:rFonts w:hint="eastAsia"/>
        </w:rPr>
        <w:t>3</w:t>
      </w:r>
      <w:r>
        <w:rPr>
          <w:rFonts w:hint="eastAsia"/>
        </w:rPr>
        <w:t>个月内缴纳完毕。</w:t>
      </w:r>
    </w:p>
    <w:p w14:paraId="3AB71AA4" w14:textId="77777777" w:rsidR="000D5F1D" w:rsidRDefault="000D5F1D" w:rsidP="008013B9">
      <w:pPr>
        <w:pStyle w:val="AD"/>
        <w:spacing w:line="276" w:lineRule="auto"/>
      </w:pPr>
    </w:p>
    <w:p w14:paraId="1D85CABD" w14:textId="77777777" w:rsidR="000D5F1D" w:rsidRDefault="000D5F1D" w:rsidP="008013B9">
      <w:pPr>
        <w:pStyle w:val="AD"/>
        <w:spacing w:line="276" w:lineRule="auto"/>
      </w:pPr>
      <w:r>
        <w:rPr>
          <w:rFonts w:hint="eastAsia"/>
        </w:rPr>
        <w:t xml:space="preserve">　　四、《通知》第二条中的企业进口新设备，同时适用申报进口当期的《国内投资项目不予免税的进口商品目录》、《外商投资项目不予免税的进口商品目录》、《进口不予免税的重大技术装备和产品目录》所列商品的累积范围。</w:t>
      </w:r>
    </w:p>
    <w:p w14:paraId="30BF813D" w14:textId="77777777" w:rsidR="000D5F1D" w:rsidRDefault="000D5F1D" w:rsidP="008013B9">
      <w:pPr>
        <w:pStyle w:val="AD"/>
        <w:spacing w:line="276" w:lineRule="auto"/>
      </w:pPr>
    </w:p>
    <w:p w14:paraId="3DCDCD10" w14:textId="77777777" w:rsidR="000D5F1D" w:rsidRDefault="000D5F1D" w:rsidP="008013B9">
      <w:pPr>
        <w:pStyle w:val="AD"/>
        <w:spacing w:line="276" w:lineRule="auto"/>
      </w:pPr>
      <w:r>
        <w:rPr>
          <w:rFonts w:hint="eastAsia"/>
        </w:rPr>
        <w:t xml:space="preserve">　　五、免税进口单位应按照海关有关规定，办理有关进口商品的减免税手续。</w:t>
      </w:r>
    </w:p>
    <w:p w14:paraId="1B40B8BB" w14:textId="77777777" w:rsidR="000D5F1D" w:rsidRDefault="000D5F1D" w:rsidP="008013B9">
      <w:pPr>
        <w:pStyle w:val="AD"/>
        <w:spacing w:line="276" w:lineRule="auto"/>
      </w:pPr>
    </w:p>
    <w:p w14:paraId="1CFB9037" w14:textId="77777777" w:rsidR="000D5F1D" w:rsidRDefault="000D5F1D" w:rsidP="008013B9">
      <w:pPr>
        <w:pStyle w:val="AD"/>
        <w:spacing w:line="276" w:lineRule="auto"/>
      </w:pPr>
      <w:r>
        <w:rPr>
          <w:rFonts w:hint="eastAsia"/>
        </w:rPr>
        <w:t xml:space="preserve">　　六、本办法第一、二条中，国家发展改革委、工业和信息化部分别牵头制定的名单、清单应注明批次。其中第一批名单、清单自</w:t>
      </w:r>
      <w:r>
        <w:rPr>
          <w:rFonts w:hint="eastAsia"/>
        </w:rPr>
        <w:t>2021</w:t>
      </w:r>
      <w:r>
        <w:rPr>
          <w:rFonts w:hint="eastAsia"/>
        </w:rPr>
        <w:t>年</w:t>
      </w:r>
      <w:r>
        <w:rPr>
          <w:rFonts w:hint="eastAsia"/>
        </w:rPr>
        <w:t>1</w:t>
      </w:r>
      <w:r>
        <w:rPr>
          <w:rFonts w:hint="eastAsia"/>
        </w:rPr>
        <w:t>月</w:t>
      </w:r>
      <w:r>
        <w:rPr>
          <w:rFonts w:hint="eastAsia"/>
        </w:rPr>
        <w:t>1</w:t>
      </w:r>
      <w:r>
        <w:rPr>
          <w:rFonts w:hint="eastAsia"/>
        </w:rPr>
        <w:t>日实施，至第一批名单印发之日后</w:t>
      </w:r>
      <w:r>
        <w:rPr>
          <w:rFonts w:hint="eastAsia"/>
        </w:rPr>
        <w:t>30</w:t>
      </w:r>
      <w:r>
        <w:rPr>
          <w:rFonts w:hint="eastAsia"/>
        </w:rPr>
        <w:t>日内已征的应免关税税款，依免税进口单位申请准予退还。以后批次的名单、清单，分别自印发之日后第</w:t>
      </w:r>
      <w:r>
        <w:rPr>
          <w:rFonts w:hint="eastAsia"/>
        </w:rPr>
        <w:t>20</w:t>
      </w:r>
      <w:r>
        <w:rPr>
          <w:rFonts w:hint="eastAsia"/>
        </w:rPr>
        <w:t>日起实施。</w:t>
      </w:r>
    </w:p>
    <w:p w14:paraId="79D83CE2" w14:textId="77777777" w:rsidR="000D5F1D" w:rsidRDefault="000D5F1D" w:rsidP="008013B9">
      <w:pPr>
        <w:pStyle w:val="AD"/>
        <w:spacing w:line="276" w:lineRule="auto"/>
      </w:pPr>
    </w:p>
    <w:p w14:paraId="77A49F10" w14:textId="77777777" w:rsidR="000D5F1D" w:rsidRDefault="000D5F1D" w:rsidP="008013B9">
      <w:pPr>
        <w:pStyle w:val="AD"/>
        <w:spacing w:line="276" w:lineRule="auto"/>
      </w:pPr>
      <w:r>
        <w:rPr>
          <w:rFonts w:hint="eastAsia"/>
        </w:rPr>
        <w:t xml:space="preserve">　　七、免税进口单位发生名称、经营范围变更等情形的，应在《通知》有效期限内及时将有关变更情况说明报送国家发展改革委。国家发展改革委按照第一条规定，确定变更后的单位自变更登记之日起能否继续享受政策，并注明变更登记日期。确定结果由国家发展改革委函告海关总署（确定结果较多时，每年至少分两批函告），抄送工业和信息化部、财政部、税务总局。</w:t>
      </w:r>
    </w:p>
    <w:p w14:paraId="0177177C" w14:textId="77777777" w:rsidR="000D5F1D" w:rsidRDefault="000D5F1D" w:rsidP="008013B9">
      <w:pPr>
        <w:pStyle w:val="AD"/>
        <w:spacing w:line="276" w:lineRule="auto"/>
      </w:pPr>
    </w:p>
    <w:p w14:paraId="50CCAE76" w14:textId="77777777" w:rsidR="000D5F1D" w:rsidRDefault="000D5F1D" w:rsidP="008013B9">
      <w:pPr>
        <w:pStyle w:val="AD"/>
        <w:spacing w:line="276" w:lineRule="auto"/>
      </w:pPr>
      <w:r>
        <w:rPr>
          <w:rFonts w:hint="eastAsia"/>
        </w:rPr>
        <w:t xml:space="preserve">　　八、免税进口单位应按有关规定使用免税进口商品，如违反规定，将免税进口商品擅自转让、移作他用或者进行其他处置，被依法追究刑事责任的，在《通知》剩余有效期限内停止享受政策。</w:t>
      </w:r>
    </w:p>
    <w:p w14:paraId="574DCA78" w14:textId="77777777" w:rsidR="000D5F1D" w:rsidRDefault="000D5F1D" w:rsidP="008013B9">
      <w:pPr>
        <w:pStyle w:val="AD"/>
        <w:spacing w:line="276" w:lineRule="auto"/>
      </w:pPr>
    </w:p>
    <w:p w14:paraId="5E5D4E96" w14:textId="77777777" w:rsidR="000D5F1D" w:rsidRDefault="000D5F1D" w:rsidP="008013B9">
      <w:pPr>
        <w:pStyle w:val="AD"/>
        <w:spacing w:line="276" w:lineRule="auto"/>
      </w:pPr>
      <w:r>
        <w:rPr>
          <w:rFonts w:hint="eastAsia"/>
        </w:rPr>
        <w:t xml:space="preserve">　　九、免税进口单位如存在以虚报情况获得免税资格，由国家发展改革委会同工业和信息化部、财政部、海关总署、税务总局等部门查实后，国家发展改革委函告海关总署，自函告之日起，该单位在《通知》剩余有效期限内停止享受政策。</w:t>
      </w:r>
    </w:p>
    <w:p w14:paraId="3C9CA709" w14:textId="77777777" w:rsidR="000D5F1D" w:rsidRDefault="000D5F1D" w:rsidP="008013B9">
      <w:pPr>
        <w:pStyle w:val="AD"/>
        <w:spacing w:line="276" w:lineRule="auto"/>
      </w:pPr>
    </w:p>
    <w:p w14:paraId="60C0D63D" w14:textId="77777777" w:rsidR="000D5F1D" w:rsidRDefault="000D5F1D" w:rsidP="008013B9">
      <w:pPr>
        <w:pStyle w:val="AD"/>
        <w:spacing w:line="276" w:lineRule="auto"/>
      </w:pPr>
      <w:r>
        <w:rPr>
          <w:rFonts w:hint="eastAsia"/>
        </w:rPr>
        <w:t xml:space="preserve">　　十、财政等有关部门及其工作人员在政策执行过程中，存在违反执行政策规定的行为，以</w:t>
      </w:r>
      <w:r>
        <w:rPr>
          <w:rFonts w:hint="eastAsia"/>
        </w:rPr>
        <w:lastRenderedPageBreak/>
        <w:t>及滥用职权、玩忽职守、徇私舞弊等违法违纪行为的，依照国家有关规定追究相应责任；涉嫌犯罪的，依法追究刑事责任。</w:t>
      </w:r>
    </w:p>
    <w:p w14:paraId="60E7D76C" w14:textId="77777777" w:rsidR="000D5F1D" w:rsidRDefault="000D5F1D" w:rsidP="008013B9">
      <w:pPr>
        <w:pStyle w:val="AD"/>
        <w:spacing w:line="276" w:lineRule="auto"/>
      </w:pPr>
    </w:p>
    <w:p w14:paraId="39402E57" w14:textId="77777777" w:rsidR="000D5F1D" w:rsidRDefault="000D5F1D" w:rsidP="008013B9">
      <w:pPr>
        <w:pStyle w:val="AD"/>
        <w:spacing w:line="276" w:lineRule="auto"/>
      </w:pPr>
      <w:r>
        <w:rPr>
          <w:rFonts w:hint="eastAsia"/>
        </w:rPr>
        <w:t xml:space="preserve">　　十一、本办法有效期为</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2030</w:t>
      </w:r>
      <w:r>
        <w:rPr>
          <w:rFonts w:hint="eastAsia"/>
        </w:rPr>
        <w:t>年</w:t>
      </w:r>
      <w:r>
        <w:rPr>
          <w:rFonts w:hint="eastAsia"/>
        </w:rPr>
        <w:t>12</w:t>
      </w:r>
      <w:r>
        <w:rPr>
          <w:rFonts w:hint="eastAsia"/>
        </w:rPr>
        <w:t>月</w:t>
      </w:r>
      <w:r>
        <w:rPr>
          <w:rFonts w:hint="eastAsia"/>
        </w:rPr>
        <w:t>31</w:t>
      </w:r>
      <w:r>
        <w:rPr>
          <w:rFonts w:hint="eastAsia"/>
        </w:rPr>
        <w:t>日。</w:t>
      </w:r>
    </w:p>
    <w:p w14:paraId="6E3E8CDB" w14:textId="77777777" w:rsidR="000D5F1D" w:rsidRDefault="000D5F1D" w:rsidP="008013B9">
      <w:pPr>
        <w:pStyle w:val="AD"/>
        <w:spacing w:line="276" w:lineRule="auto"/>
      </w:pPr>
    </w:p>
    <w:p w14:paraId="70AE91CF" w14:textId="6AE0A2A2" w:rsidR="000D5F1D" w:rsidRDefault="000D5F1D" w:rsidP="008013B9">
      <w:pPr>
        <w:pStyle w:val="AD"/>
        <w:spacing w:line="276" w:lineRule="auto"/>
        <w:jc w:val="right"/>
      </w:pPr>
      <w:r>
        <w:rPr>
          <w:rFonts w:hint="eastAsia"/>
        </w:rPr>
        <w:t>财政部</w:t>
      </w:r>
      <w:r>
        <w:rPr>
          <w:rFonts w:hint="eastAsia"/>
        </w:rPr>
        <w:t xml:space="preserve">  </w:t>
      </w:r>
      <w:r>
        <w:rPr>
          <w:rFonts w:hint="eastAsia"/>
        </w:rPr>
        <w:t>国家发展改革委</w:t>
      </w:r>
      <w:r>
        <w:rPr>
          <w:rFonts w:hint="eastAsia"/>
        </w:rPr>
        <w:t xml:space="preserve">  </w:t>
      </w:r>
      <w:r>
        <w:rPr>
          <w:rFonts w:hint="eastAsia"/>
        </w:rPr>
        <w:t>工业和信息化部</w:t>
      </w:r>
    </w:p>
    <w:p w14:paraId="0C2E6895" w14:textId="03DE3C77" w:rsidR="000D5F1D" w:rsidRDefault="000D5F1D" w:rsidP="008013B9">
      <w:pPr>
        <w:pStyle w:val="AD"/>
        <w:spacing w:line="276" w:lineRule="auto"/>
        <w:jc w:val="right"/>
      </w:pPr>
      <w:r>
        <w:rPr>
          <w:rFonts w:hint="eastAsia"/>
        </w:rPr>
        <w:t>海关总署</w:t>
      </w:r>
      <w:r w:rsidR="005E7595">
        <w:rPr>
          <w:rFonts w:hint="eastAsia"/>
        </w:rPr>
        <w:t xml:space="preserve"> </w:t>
      </w:r>
      <w:r w:rsidR="005E7595">
        <w:t xml:space="preserve"> </w:t>
      </w:r>
      <w:r>
        <w:rPr>
          <w:rFonts w:hint="eastAsia"/>
        </w:rPr>
        <w:t>税务总局</w:t>
      </w:r>
    </w:p>
    <w:p w14:paraId="4F615BDC" w14:textId="7FC25DB2" w:rsidR="00B15193" w:rsidRDefault="000D5F1D" w:rsidP="008013B9">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31</w:t>
      </w:r>
      <w:r>
        <w:rPr>
          <w:rFonts w:hint="eastAsia"/>
        </w:rPr>
        <w:t>日</w:t>
      </w:r>
    </w:p>
    <w:p w14:paraId="604A1573" w14:textId="1525BEC9" w:rsidR="000D5F1D" w:rsidRDefault="000D5F1D" w:rsidP="008013B9">
      <w:pPr>
        <w:pStyle w:val="AD"/>
        <w:spacing w:line="276" w:lineRule="auto"/>
      </w:pPr>
    </w:p>
    <w:p w14:paraId="6414EEF9" w14:textId="1220AB04" w:rsidR="000D5F1D" w:rsidRDefault="000D5F1D" w:rsidP="008013B9">
      <w:pPr>
        <w:pStyle w:val="AD"/>
        <w:spacing w:line="276" w:lineRule="auto"/>
      </w:pPr>
    </w:p>
    <w:p w14:paraId="0A4D62CB" w14:textId="73AC0FD7" w:rsidR="000D5F1D" w:rsidRDefault="000D5F1D" w:rsidP="008013B9">
      <w:pPr>
        <w:pStyle w:val="AD"/>
        <w:spacing w:line="276" w:lineRule="auto"/>
      </w:pPr>
      <w:r>
        <w:rPr>
          <w:rFonts w:hint="eastAsia"/>
        </w:rPr>
        <w:t>信息来源：</w:t>
      </w:r>
      <w:hyperlink r:id="rId6" w:history="1">
        <w:r w:rsidRPr="009D56DC">
          <w:rPr>
            <w:rStyle w:val="a9"/>
          </w:rPr>
          <w:t>http://gss.mof.gov.cn/gzdt/zhengcefabu/202104/t20210412_3684758.htm</w:t>
        </w:r>
      </w:hyperlink>
    </w:p>
    <w:p w14:paraId="049502F1" w14:textId="77777777" w:rsidR="000D5F1D" w:rsidRPr="000D5F1D" w:rsidRDefault="000D5F1D" w:rsidP="008013B9">
      <w:pPr>
        <w:pStyle w:val="AD"/>
        <w:spacing w:line="276" w:lineRule="auto"/>
      </w:pPr>
    </w:p>
    <w:sectPr w:rsidR="000D5F1D" w:rsidRPr="000D5F1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F1592" w14:textId="77777777" w:rsidR="000607A5" w:rsidRDefault="000607A5" w:rsidP="00C20A6A">
      <w:pPr>
        <w:spacing w:line="240" w:lineRule="auto"/>
      </w:pPr>
      <w:r>
        <w:separator/>
      </w:r>
    </w:p>
  </w:endnote>
  <w:endnote w:type="continuationSeparator" w:id="0">
    <w:p w14:paraId="1AA5954F" w14:textId="77777777" w:rsidR="000607A5" w:rsidRDefault="000607A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27702" w14:textId="77777777" w:rsidR="000607A5" w:rsidRDefault="000607A5" w:rsidP="00C20A6A">
      <w:pPr>
        <w:spacing w:line="240" w:lineRule="auto"/>
      </w:pPr>
      <w:r>
        <w:separator/>
      </w:r>
    </w:p>
  </w:footnote>
  <w:footnote w:type="continuationSeparator" w:id="0">
    <w:p w14:paraId="493782E2" w14:textId="77777777" w:rsidR="000607A5" w:rsidRDefault="000607A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502D"/>
    <w:rsid w:val="000607A5"/>
    <w:rsid w:val="000D5F1D"/>
    <w:rsid w:val="000F4C6A"/>
    <w:rsid w:val="00176A25"/>
    <w:rsid w:val="001C4C6F"/>
    <w:rsid w:val="003D27E2"/>
    <w:rsid w:val="00517D67"/>
    <w:rsid w:val="00532AEC"/>
    <w:rsid w:val="005E7595"/>
    <w:rsid w:val="005F7C76"/>
    <w:rsid w:val="007D7BDB"/>
    <w:rsid w:val="008013B9"/>
    <w:rsid w:val="00910610"/>
    <w:rsid w:val="00A548E7"/>
    <w:rsid w:val="00B15193"/>
    <w:rsid w:val="00B731F1"/>
    <w:rsid w:val="00C20A6A"/>
    <w:rsid w:val="00C22624"/>
    <w:rsid w:val="00D02718"/>
    <w:rsid w:val="00E2502D"/>
    <w:rsid w:val="00EB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CF36A"/>
  <w15:chartTrackingRefBased/>
  <w15:docId w15:val="{95C4F3CB-4CA3-4165-8AEF-5DFD194D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D5F1D"/>
    <w:pPr>
      <w:ind w:leftChars="2500" w:left="100"/>
    </w:pPr>
  </w:style>
  <w:style w:type="character" w:customStyle="1" w:styleId="a8">
    <w:name w:val="日期 字符"/>
    <w:basedOn w:val="a0"/>
    <w:link w:val="a7"/>
    <w:uiPriority w:val="99"/>
    <w:semiHidden/>
    <w:rsid w:val="000D5F1D"/>
    <w:rPr>
      <w:rFonts w:ascii="Arial" w:eastAsia="宋体" w:hAnsi="Arial"/>
      <w:sz w:val="22"/>
    </w:rPr>
  </w:style>
  <w:style w:type="character" w:styleId="a9">
    <w:name w:val="Hyperlink"/>
    <w:basedOn w:val="a0"/>
    <w:uiPriority w:val="99"/>
    <w:unhideWhenUsed/>
    <w:rsid w:val="000D5F1D"/>
    <w:rPr>
      <w:color w:val="0000FF" w:themeColor="hyperlink"/>
      <w:u w:val="single"/>
    </w:rPr>
  </w:style>
  <w:style w:type="character" w:styleId="aa">
    <w:name w:val="Unresolved Mention"/>
    <w:basedOn w:val="a0"/>
    <w:uiPriority w:val="99"/>
    <w:semiHidden/>
    <w:unhideWhenUsed/>
    <w:rsid w:val="000D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ss.mof.gov.cn/gzdt/zhengcefabu/202104/t20210412_368475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2021-04-15T03:47:00Z</dcterms:created>
  <dcterms:modified xsi:type="dcterms:W3CDTF">2021-04-15T10:45:00Z</dcterms:modified>
</cp:coreProperties>
</file>