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7ED8A" w14:textId="77777777" w:rsidR="006D60A5" w:rsidRPr="00FD7D90" w:rsidRDefault="006D60A5" w:rsidP="008571C6">
      <w:pPr>
        <w:pStyle w:val="AD"/>
        <w:spacing w:line="276" w:lineRule="auto"/>
        <w:jc w:val="center"/>
        <w:rPr>
          <w:b/>
          <w:bCs/>
          <w:color w:val="E36C0A" w:themeColor="accent6" w:themeShade="BF"/>
          <w:sz w:val="32"/>
          <w:szCs w:val="32"/>
        </w:rPr>
      </w:pPr>
      <w:r w:rsidRPr="00FD7D90">
        <w:rPr>
          <w:rFonts w:hint="eastAsia"/>
          <w:b/>
          <w:bCs/>
          <w:color w:val="E36C0A" w:themeColor="accent6" w:themeShade="BF"/>
          <w:sz w:val="32"/>
          <w:szCs w:val="32"/>
        </w:rPr>
        <w:t>关于</w:t>
      </w:r>
      <w:r w:rsidRPr="00FD7D90">
        <w:rPr>
          <w:rFonts w:hint="eastAsia"/>
          <w:b/>
          <w:bCs/>
          <w:color w:val="E36C0A" w:themeColor="accent6" w:themeShade="BF"/>
          <w:sz w:val="32"/>
          <w:szCs w:val="32"/>
        </w:rPr>
        <w:t>2021-2030</w:t>
      </w:r>
      <w:r w:rsidRPr="00FD7D90">
        <w:rPr>
          <w:rFonts w:hint="eastAsia"/>
          <w:b/>
          <w:bCs/>
          <w:color w:val="E36C0A" w:themeColor="accent6" w:themeShade="BF"/>
          <w:sz w:val="32"/>
          <w:szCs w:val="32"/>
        </w:rPr>
        <w:t>年支持新型显示产业发展进口税收政策的通知</w:t>
      </w:r>
    </w:p>
    <w:p w14:paraId="45F0AAB6" w14:textId="77777777" w:rsidR="006D60A5" w:rsidRDefault="006D60A5" w:rsidP="008571C6">
      <w:pPr>
        <w:pStyle w:val="AD"/>
        <w:spacing w:line="276" w:lineRule="auto"/>
        <w:jc w:val="center"/>
      </w:pPr>
      <w:r>
        <w:rPr>
          <w:rFonts w:hint="eastAsia"/>
        </w:rPr>
        <w:t>财关税〔</w:t>
      </w:r>
      <w:r>
        <w:rPr>
          <w:rFonts w:hint="eastAsia"/>
        </w:rPr>
        <w:t>2021</w:t>
      </w:r>
      <w:r>
        <w:rPr>
          <w:rFonts w:hint="eastAsia"/>
        </w:rPr>
        <w:t>〕</w:t>
      </w:r>
      <w:r>
        <w:rPr>
          <w:rFonts w:hint="eastAsia"/>
        </w:rPr>
        <w:t>19</w:t>
      </w:r>
      <w:r>
        <w:rPr>
          <w:rFonts w:hint="eastAsia"/>
        </w:rPr>
        <w:t>号</w:t>
      </w:r>
    </w:p>
    <w:p w14:paraId="3CD1F151" w14:textId="77777777" w:rsidR="006D60A5" w:rsidRDefault="006D60A5" w:rsidP="008571C6">
      <w:pPr>
        <w:pStyle w:val="AD"/>
        <w:spacing w:line="276" w:lineRule="auto"/>
      </w:pPr>
    </w:p>
    <w:p w14:paraId="5D238B2A" w14:textId="77777777" w:rsidR="006D60A5" w:rsidRDefault="006D60A5" w:rsidP="008571C6">
      <w:pPr>
        <w:pStyle w:val="AD"/>
        <w:spacing w:line="276" w:lineRule="auto"/>
      </w:pPr>
      <w:r>
        <w:rPr>
          <w:rFonts w:hint="eastAsia"/>
        </w:rPr>
        <w:t>各省、自治区、直辖市、计划单列市财政厅（局）、新疆生产建设兵团财政局，海关总署广东分署、各直属海关，国家税务总局各省、自治区、直辖市、计划单列市税务局，财政部各地监管局，国家税务总局驻各地特派员办事处：</w:t>
      </w:r>
    </w:p>
    <w:p w14:paraId="379EA2D3" w14:textId="77777777" w:rsidR="006D60A5" w:rsidRDefault="006D60A5" w:rsidP="008571C6">
      <w:pPr>
        <w:pStyle w:val="AD"/>
        <w:spacing w:line="276" w:lineRule="auto"/>
      </w:pPr>
    </w:p>
    <w:p w14:paraId="5BD946F3" w14:textId="77777777" w:rsidR="006D60A5" w:rsidRDefault="006D60A5" w:rsidP="008571C6">
      <w:pPr>
        <w:pStyle w:val="AD"/>
        <w:spacing w:line="276" w:lineRule="auto"/>
      </w:pPr>
      <w:r>
        <w:rPr>
          <w:rFonts w:hint="eastAsia"/>
        </w:rPr>
        <w:t xml:space="preserve">　　为加快壮大新一代信息技术，支持新型显示产业发展，现将有关进口税收政策通知如下：</w:t>
      </w:r>
    </w:p>
    <w:p w14:paraId="3983D15D" w14:textId="77777777" w:rsidR="006D60A5" w:rsidRDefault="006D60A5" w:rsidP="008571C6">
      <w:pPr>
        <w:pStyle w:val="AD"/>
        <w:spacing w:line="276" w:lineRule="auto"/>
      </w:pPr>
    </w:p>
    <w:p w14:paraId="1103A4A5" w14:textId="77777777" w:rsidR="006D60A5" w:rsidRDefault="006D60A5" w:rsidP="008571C6">
      <w:pPr>
        <w:pStyle w:val="AD"/>
        <w:spacing w:line="276" w:lineRule="auto"/>
      </w:pPr>
      <w:r>
        <w:rPr>
          <w:rFonts w:hint="eastAsia"/>
        </w:rPr>
        <w:t xml:space="preserve">　　一、自</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2030</w:t>
      </w:r>
      <w:r>
        <w:rPr>
          <w:rFonts w:hint="eastAsia"/>
        </w:rPr>
        <w:t>年</w:t>
      </w:r>
      <w:r>
        <w:rPr>
          <w:rFonts w:hint="eastAsia"/>
        </w:rPr>
        <w:t>12</w:t>
      </w:r>
      <w:r>
        <w:rPr>
          <w:rFonts w:hint="eastAsia"/>
        </w:rPr>
        <w:t>月</w:t>
      </w:r>
      <w:r>
        <w:rPr>
          <w:rFonts w:hint="eastAsia"/>
        </w:rPr>
        <w:t>31</w:t>
      </w:r>
      <w:r>
        <w:rPr>
          <w:rFonts w:hint="eastAsia"/>
        </w:rPr>
        <w:t>日，对新型显示器件（即薄膜晶体管液晶显示器件、有源矩阵有机发光二极管显示器件、</w:t>
      </w:r>
      <w:r>
        <w:rPr>
          <w:rFonts w:hint="eastAsia"/>
        </w:rPr>
        <w:t>Micro-LED</w:t>
      </w:r>
      <w:r>
        <w:rPr>
          <w:rFonts w:hint="eastAsia"/>
        </w:rPr>
        <w:t>显示器件，下同）生产企业进口国内不能生产或性能不能满足需求的自用生产性（含研发用，下同）原材料、消耗品和净化室配套系统、生产设备（包括进口设备和国产设备）零配件，对新型显示产业的关键原材料、零配件（即靶材、光刻胶、掩模版、偏光片、彩色滤光膜）生产企业进口国内不能生产或性能不能满足需求的自用生产性原材料、消耗品，免征进口关税。</w:t>
      </w:r>
    </w:p>
    <w:p w14:paraId="53D008D6" w14:textId="77777777" w:rsidR="006D60A5" w:rsidRDefault="006D60A5" w:rsidP="008571C6">
      <w:pPr>
        <w:pStyle w:val="AD"/>
        <w:spacing w:line="276" w:lineRule="auto"/>
      </w:pPr>
    </w:p>
    <w:p w14:paraId="6EEFCABD" w14:textId="77777777" w:rsidR="006D60A5" w:rsidRDefault="006D60A5" w:rsidP="008571C6">
      <w:pPr>
        <w:pStyle w:val="AD"/>
        <w:spacing w:line="276" w:lineRule="auto"/>
      </w:pPr>
      <w:r>
        <w:rPr>
          <w:rFonts w:hint="eastAsia"/>
        </w:rPr>
        <w:t xml:space="preserve">　　根据国内产业发展、技术进步等情况，财政部、海关总署、税务总局将会同国家发展改革委、工业和信息化部对上述关键原材料、零配件类型适时调整。</w:t>
      </w:r>
    </w:p>
    <w:p w14:paraId="00419C11" w14:textId="77777777" w:rsidR="006D60A5" w:rsidRDefault="006D60A5" w:rsidP="008571C6">
      <w:pPr>
        <w:pStyle w:val="AD"/>
        <w:spacing w:line="276" w:lineRule="auto"/>
      </w:pPr>
    </w:p>
    <w:p w14:paraId="700CDEC3" w14:textId="77777777" w:rsidR="006D60A5" w:rsidRDefault="006D60A5" w:rsidP="008571C6">
      <w:pPr>
        <w:pStyle w:val="AD"/>
        <w:spacing w:line="276" w:lineRule="auto"/>
      </w:pPr>
      <w:r>
        <w:rPr>
          <w:rFonts w:hint="eastAsia"/>
        </w:rPr>
        <w:t xml:space="preserve">　　二、承建新型显示器件重大项目的企业自</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2030</w:t>
      </w:r>
      <w:r>
        <w:rPr>
          <w:rFonts w:hint="eastAsia"/>
        </w:rPr>
        <w:t>年</w:t>
      </w:r>
      <w:r>
        <w:rPr>
          <w:rFonts w:hint="eastAsia"/>
        </w:rPr>
        <w:t>12</w:t>
      </w:r>
      <w:r>
        <w:rPr>
          <w:rFonts w:hint="eastAsia"/>
        </w:rPr>
        <w:t>月</w:t>
      </w:r>
      <w:r>
        <w:rPr>
          <w:rFonts w:hint="eastAsia"/>
        </w:rPr>
        <w:t>31</w:t>
      </w:r>
      <w:r>
        <w:rPr>
          <w:rFonts w:hint="eastAsia"/>
        </w:rPr>
        <w:t>日期间进口新设备，除《国内投资项目不予免税的进口商品目录》、《外商投资项目不予免税的进口商品目录》和《进口不予免税的重大技术装备和产品目录》所列商品外，对未缴纳的税款提供海关认可的税款担保，准予在首台设备进口之后的</w:t>
      </w:r>
      <w:r>
        <w:rPr>
          <w:rFonts w:hint="eastAsia"/>
        </w:rPr>
        <w:t>6</w:t>
      </w:r>
      <w:r>
        <w:rPr>
          <w:rFonts w:hint="eastAsia"/>
        </w:rPr>
        <w:t>年（连续</w:t>
      </w:r>
      <w:r>
        <w:rPr>
          <w:rFonts w:hint="eastAsia"/>
        </w:rPr>
        <w:t>72</w:t>
      </w:r>
      <w:r>
        <w:rPr>
          <w:rFonts w:hint="eastAsia"/>
        </w:rPr>
        <w:t>个月）期限内分期缴纳进口环节增值税，</w:t>
      </w:r>
      <w:r>
        <w:rPr>
          <w:rFonts w:hint="eastAsia"/>
        </w:rPr>
        <w:t>6</w:t>
      </w:r>
      <w:r>
        <w:rPr>
          <w:rFonts w:hint="eastAsia"/>
        </w:rPr>
        <w:t>年内每年（连续</w:t>
      </w:r>
      <w:r>
        <w:rPr>
          <w:rFonts w:hint="eastAsia"/>
        </w:rPr>
        <w:t>12</w:t>
      </w:r>
      <w:r>
        <w:rPr>
          <w:rFonts w:hint="eastAsia"/>
        </w:rPr>
        <w:t>个月）依次缴纳进口环节增值税总额的</w:t>
      </w:r>
      <w:r>
        <w:rPr>
          <w:rFonts w:hint="eastAsia"/>
        </w:rPr>
        <w:t>0%</w:t>
      </w:r>
      <w:r>
        <w:rPr>
          <w:rFonts w:hint="eastAsia"/>
        </w:rPr>
        <w:t>、</w:t>
      </w:r>
      <w:r>
        <w:rPr>
          <w:rFonts w:hint="eastAsia"/>
        </w:rPr>
        <w:t>20%</w:t>
      </w:r>
      <w:r>
        <w:rPr>
          <w:rFonts w:hint="eastAsia"/>
        </w:rPr>
        <w:t>、</w:t>
      </w:r>
      <w:r>
        <w:rPr>
          <w:rFonts w:hint="eastAsia"/>
        </w:rPr>
        <w:t>20%</w:t>
      </w:r>
      <w:r>
        <w:rPr>
          <w:rFonts w:hint="eastAsia"/>
        </w:rPr>
        <w:t>、</w:t>
      </w:r>
      <w:r>
        <w:rPr>
          <w:rFonts w:hint="eastAsia"/>
        </w:rPr>
        <w:t>20%</w:t>
      </w:r>
      <w:r>
        <w:rPr>
          <w:rFonts w:hint="eastAsia"/>
        </w:rPr>
        <w:t>、</w:t>
      </w:r>
      <w:r>
        <w:rPr>
          <w:rFonts w:hint="eastAsia"/>
        </w:rPr>
        <w:t>20%</w:t>
      </w:r>
      <w:r>
        <w:rPr>
          <w:rFonts w:hint="eastAsia"/>
        </w:rPr>
        <w:t>、</w:t>
      </w:r>
      <w:r>
        <w:rPr>
          <w:rFonts w:hint="eastAsia"/>
        </w:rPr>
        <w:t>20%</w:t>
      </w:r>
      <w:r>
        <w:rPr>
          <w:rFonts w:hint="eastAsia"/>
        </w:rPr>
        <w:t>，自首台设备进口之日起已经缴纳的税款不予退还。在分期纳税期间，海关对准予分期缴纳的税款不予征收滞纳金。</w:t>
      </w:r>
    </w:p>
    <w:p w14:paraId="38CACD96" w14:textId="77777777" w:rsidR="006D60A5" w:rsidRDefault="006D60A5" w:rsidP="008571C6">
      <w:pPr>
        <w:pStyle w:val="AD"/>
        <w:spacing w:line="276" w:lineRule="auto"/>
      </w:pPr>
    </w:p>
    <w:p w14:paraId="573DC730" w14:textId="77777777" w:rsidR="006D60A5" w:rsidRDefault="006D60A5" w:rsidP="008571C6">
      <w:pPr>
        <w:pStyle w:val="AD"/>
        <w:spacing w:line="276" w:lineRule="auto"/>
      </w:pPr>
      <w:r>
        <w:rPr>
          <w:rFonts w:hint="eastAsia"/>
        </w:rPr>
        <w:t xml:space="preserve">　　三、第一条中所述国内不能生产或性能不能满足需求的免税进口商品清单，由工业和信息化部会同国家发展改革委、财政部、海关总署、税务总局另行制定印发，并动态调整。</w:t>
      </w:r>
    </w:p>
    <w:p w14:paraId="780F5227" w14:textId="77777777" w:rsidR="006D60A5" w:rsidRDefault="006D60A5" w:rsidP="008571C6">
      <w:pPr>
        <w:pStyle w:val="AD"/>
        <w:spacing w:line="276" w:lineRule="auto"/>
      </w:pPr>
    </w:p>
    <w:p w14:paraId="7ECF9A93" w14:textId="77777777" w:rsidR="006D60A5" w:rsidRDefault="006D60A5" w:rsidP="008571C6">
      <w:pPr>
        <w:pStyle w:val="AD"/>
        <w:spacing w:line="276" w:lineRule="auto"/>
      </w:pPr>
      <w:r>
        <w:rPr>
          <w:rFonts w:hint="eastAsia"/>
        </w:rPr>
        <w:t xml:space="preserve">　　四、</w:t>
      </w:r>
      <w:r>
        <w:rPr>
          <w:rFonts w:hint="eastAsia"/>
        </w:rPr>
        <w:t>2021-2030</w:t>
      </w:r>
      <w:r>
        <w:rPr>
          <w:rFonts w:hint="eastAsia"/>
        </w:rPr>
        <w:t>年支持新型显示产业发展进口税收政策管理办法由财政部、海关总署、税务总局会同国家发展改革委、工业和信息化部另行制定印发。</w:t>
      </w:r>
    </w:p>
    <w:p w14:paraId="7D69F5B4" w14:textId="77777777" w:rsidR="006D60A5" w:rsidRDefault="006D60A5" w:rsidP="008571C6">
      <w:pPr>
        <w:pStyle w:val="AD"/>
        <w:spacing w:line="276" w:lineRule="auto"/>
      </w:pPr>
    </w:p>
    <w:p w14:paraId="2E6D13E8" w14:textId="29A18379" w:rsidR="00813B70" w:rsidRDefault="006D60A5" w:rsidP="008571C6">
      <w:pPr>
        <w:pStyle w:val="AD"/>
        <w:spacing w:line="276" w:lineRule="auto"/>
        <w:ind w:firstLine="443"/>
        <w:jc w:val="right"/>
      </w:pPr>
      <w:r>
        <w:rPr>
          <w:rFonts w:hint="eastAsia"/>
        </w:rPr>
        <w:t>财</w:t>
      </w:r>
      <w:r>
        <w:rPr>
          <w:rFonts w:hint="eastAsia"/>
        </w:rPr>
        <w:t xml:space="preserve"> </w:t>
      </w:r>
      <w:r>
        <w:rPr>
          <w:rFonts w:hint="eastAsia"/>
        </w:rPr>
        <w:t>政</w:t>
      </w:r>
      <w:r>
        <w:rPr>
          <w:rFonts w:hint="eastAsia"/>
        </w:rPr>
        <w:t xml:space="preserve"> </w:t>
      </w:r>
      <w:r>
        <w:rPr>
          <w:rFonts w:hint="eastAsia"/>
        </w:rPr>
        <w:t>部</w:t>
      </w:r>
    </w:p>
    <w:p w14:paraId="3A5328BF" w14:textId="77777777" w:rsidR="00813B70" w:rsidRDefault="006D60A5" w:rsidP="008571C6">
      <w:pPr>
        <w:pStyle w:val="AD"/>
        <w:spacing w:line="276" w:lineRule="auto"/>
        <w:ind w:firstLine="443"/>
        <w:jc w:val="right"/>
      </w:pPr>
      <w:r>
        <w:rPr>
          <w:rFonts w:hint="eastAsia"/>
        </w:rPr>
        <w:t>海关总署</w:t>
      </w:r>
    </w:p>
    <w:p w14:paraId="73EEB271" w14:textId="77777777" w:rsidR="00DF275A" w:rsidRDefault="006D60A5" w:rsidP="008571C6">
      <w:pPr>
        <w:pStyle w:val="AD"/>
        <w:spacing w:line="276" w:lineRule="auto"/>
        <w:ind w:firstLine="443"/>
        <w:jc w:val="right"/>
      </w:pPr>
      <w:r>
        <w:rPr>
          <w:rFonts w:hint="eastAsia"/>
        </w:rPr>
        <w:t>税务总局</w:t>
      </w:r>
    </w:p>
    <w:p w14:paraId="3C9D0FA9" w14:textId="4CB5C260" w:rsidR="00B15193" w:rsidRDefault="006D60A5" w:rsidP="008571C6">
      <w:pPr>
        <w:pStyle w:val="AD"/>
        <w:spacing w:line="276" w:lineRule="auto"/>
        <w:ind w:firstLine="443"/>
        <w:jc w:val="right"/>
      </w:pP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14:paraId="06516AA1" w14:textId="7C745F2D" w:rsidR="006D60A5" w:rsidRDefault="006D60A5" w:rsidP="008571C6">
      <w:pPr>
        <w:pStyle w:val="AD"/>
        <w:spacing w:line="276" w:lineRule="auto"/>
      </w:pPr>
    </w:p>
    <w:p w14:paraId="1774467F" w14:textId="62C1476F" w:rsidR="006D60A5" w:rsidRDefault="006D60A5" w:rsidP="008571C6">
      <w:pPr>
        <w:pStyle w:val="AD"/>
        <w:spacing w:line="276" w:lineRule="auto"/>
      </w:pPr>
    </w:p>
    <w:p w14:paraId="2BDE4A3D" w14:textId="7CD6FD04" w:rsidR="006D60A5" w:rsidRDefault="006D60A5" w:rsidP="008571C6">
      <w:pPr>
        <w:pStyle w:val="AD"/>
        <w:spacing w:line="276" w:lineRule="auto"/>
      </w:pPr>
      <w:r>
        <w:rPr>
          <w:rFonts w:hint="eastAsia"/>
        </w:rPr>
        <w:lastRenderedPageBreak/>
        <w:t>信息来源：</w:t>
      </w:r>
      <w:hyperlink r:id="rId6" w:history="1">
        <w:r w:rsidRPr="00094330">
          <w:rPr>
            <w:rStyle w:val="a9"/>
          </w:rPr>
          <w:t>http://gss.mof.gov.cn/gzdt/zhengcefabu/202104/t20210412_3684752.htm</w:t>
        </w:r>
      </w:hyperlink>
    </w:p>
    <w:p w14:paraId="0E04825E" w14:textId="77777777" w:rsidR="006D60A5" w:rsidRPr="006D60A5" w:rsidRDefault="006D60A5" w:rsidP="008571C6">
      <w:pPr>
        <w:pStyle w:val="AD"/>
        <w:spacing w:line="276" w:lineRule="auto"/>
      </w:pPr>
    </w:p>
    <w:sectPr w:rsidR="006D60A5" w:rsidRPr="006D60A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9201" w14:textId="77777777" w:rsidR="007252AB" w:rsidRDefault="007252AB" w:rsidP="00C20A6A">
      <w:pPr>
        <w:spacing w:line="240" w:lineRule="auto"/>
      </w:pPr>
      <w:r>
        <w:separator/>
      </w:r>
    </w:p>
  </w:endnote>
  <w:endnote w:type="continuationSeparator" w:id="0">
    <w:p w14:paraId="2FF4A56C" w14:textId="77777777" w:rsidR="007252AB" w:rsidRDefault="007252A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65B5" w14:textId="77777777" w:rsidR="007252AB" w:rsidRDefault="007252AB" w:rsidP="00C20A6A">
      <w:pPr>
        <w:spacing w:line="240" w:lineRule="auto"/>
      </w:pPr>
      <w:r>
        <w:separator/>
      </w:r>
    </w:p>
  </w:footnote>
  <w:footnote w:type="continuationSeparator" w:id="0">
    <w:p w14:paraId="776659DA" w14:textId="77777777" w:rsidR="007252AB" w:rsidRDefault="007252A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75A0"/>
    <w:rsid w:val="000F4C6A"/>
    <w:rsid w:val="00176A25"/>
    <w:rsid w:val="001C4C6F"/>
    <w:rsid w:val="002D1275"/>
    <w:rsid w:val="003D27E2"/>
    <w:rsid w:val="005F7C76"/>
    <w:rsid w:val="006D60A5"/>
    <w:rsid w:val="007252AB"/>
    <w:rsid w:val="007D7BDB"/>
    <w:rsid w:val="00813B70"/>
    <w:rsid w:val="008571C6"/>
    <w:rsid w:val="00A548E7"/>
    <w:rsid w:val="00B15193"/>
    <w:rsid w:val="00B731F1"/>
    <w:rsid w:val="00C20A6A"/>
    <w:rsid w:val="00C22624"/>
    <w:rsid w:val="00D02718"/>
    <w:rsid w:val="00DF275A"/>
    <w:rsid w:val="00DF75A0"/>
    <w:rsid w:val="00FD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6E25"/>
  <w15:chartTrackingRefBased/>
  <w15:docId w15:val="{8D4E2428-4176-431A-B21E-55619526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D60A5"/>
    <w:pPr>
      <w:ind w:leftChars="2500" w:left="100"/>
    </w:pPr>
  </w:style>
  <w:style w:type="character" w:customStyle="1" w:styleId="a8">
    <w:name w:val="日期 字符"/>
    <w:basedOn w:val="a0"/>
    <w:link w:val="a7"/>
    <w:uiPriority w:val="99"/>
    <w:semiHidden/>
    <w:rsid w:val="006D60A5"/>
    <w:rPr>
      <w:rFonts w:ascii="Arial" w:eastAsia="宋体" w:hAnsi="Arial"/>
      <w:sz w:val="22"/>
    </w:rPr>
  </w:style>
  <w:style w:type="character" w:styleId="a9">
    <w:name w:val="Hyperlink"/>
    <w:basedOn w:val="a0"/>
    <w:uiPriority w:val="99"/>
    <w:unhideWhenUsed/>
    <w:rsid w:val="006D60A5"/>
    <w:rPr>
      <w:color w:val="0000FF" w:themeColor="hyperlink"/>
      <w:u w:val="single"/>
    </w:rPr>
  </w:style>
  <w:style w:type="character" w:styleId="aa">
    <w:name w:val="Unresolved Mention"/>
    <w:basedOn w:val="a0"/>
    <w:uiPriority w:val="99"/>
    <w:semiHidden/>
    <w:unhideWhenUsed/>
    <w:rsid w:val="006D6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s.mof.gov.cn/gzdt/zhengcefabu/202104/t20210412_368475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2021-04-15T03:48:00Z</dcterms:created>
  <dcterms:modified xsi:type="dcterms:W3CDTF">2021-04-15T10:45:00Z</dcterms:modified>
</cp:coreProperties>
</file>