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165C1" w14:textId="77777777" w:rsidR="002978F9" w:rsidRPr="00C86B6A" w:rsidRDefault="002978F9" w:rsidP="00596A24">
      <w:pPr>
        <w:pStyle w:val="AD"/>
        <w:spacing w:line="276" w:lineRule="auto"/>
        <w:jc w:val="center"/>
        <w:rPr>
          <w:b/>
          <w:bCs/>
          <w:color w:val="E36C0A" w:themeColor="accent6" w:themeShade="BF"/>
          <w:sz w:val="32"/>
          <w:szCs w:val="32"/>
        </w:rPr>
      </w:pPr>
      <w:r w:rsidRPr="00C86B6A">
        <w:rPr>
          <w:rFonts w:hint="eastAsia"/>
          <w:b/>
          <w:bCs/>
          <w:color w:val="E36C0A" w:themeColor="accent6" w:themeShade="BF"/>
          <w:sz w:val="32"/>
          <w:szCs w:val="32"/>
        </w:rPr>
        <w:t>关于进一步推进个人经常项目外汇业务便利化的通知</w:t>
      </w:r>
    </w:p>
    <w:p w14:paraId="6CF6AC8E" w14:textId="77777777" w:rsidR="00C86B6A" w:rsidRDefault="00C86B6A" w:rsidP="00596A24">
      <w:pPr>
        <w:pStyle w:val="AD"/>
        <w:spacing w:line="276" w:lineRule="auto"/>
      </w:pPr>
    </w:p>
    <w:p w14:paraId="68B98DF4" w14:textId="38F6BE7E" w:rsidR="002978F9" w:rsidRDefault="002978F9" w:rsidP="00596A24">
      <w:pPr>
        <w:pStyle w:val="AD"/>
        <w:spacing w:line="276" w:lineRule="auto"/>
      </w:pPr>
      <w:r>
        <w:rPr>
          <w:rFonts w:hint="eastAsia"/>
        </w:rPr>
        <w:t>国家外汇管理局各省、自治区、直辖市分局、外汇管理部，深圳、大连、青岛、厦门、宁波市分局，各全国性中资银行：</w:t>
      </w:r>
    </w:p>
    <w:p w14:paraId="3187B89C" w14:textId="77777777" w:rsidR="002978F9" w:rsidRDefault="002978F9" w:rsidP="00596A24">
      <w:pPr>
        <w:pStyle w:val="AD"/>
        <w:spacing w:line="276" w:lineRule="auto"/>
      </w:pPr>
    </w:p>
    <w:p w14:paraId="3EC212E3" w14:textId="77777777" w:rsidR="002978F9" w:rsidRDefault="002978F9" w:rsidP="00596A24">
      <w:pPr>
        <w:pStyle w:val="AD"/>
        <w:spacing w:line="276" w:lineRule="auto"/>
      </w:pPr>
      <w:r>
        <w:rPr>
          <w:rFonts w:hint="eastAsia"/>
        </w:rPr>
        <w:t>为进一步提升个人用汇便利化水平，现就个人经常项目外汇业务有关事项通知如下：</w:t>
      </w:r>
    </w:p>
    <w:p w14:paraId="365B5C9E" w14:textId="77777777" w:rsidR="002978F9" w:rsidRDefault="002978F9" w:rsidP="00596A24">
      <w:pPr>
        <w:pStyle w:val="AD"/>
        <w:spacing w:line="276" w:lineRule="auto"/>
      </w:pPr>
    </w:p>
    <w:p w14:paraId="69FCDE2E" w14:textId="77777777" w:rsidR="002978F9" w:rsidRDefault="002978F9" w:rsidP="00596A24">
      <w:pPr>
        <w:pStyle w:val="AD"/>
        <w:spacing w:line="276" w:lineRule="auto"/>
      </w:pPr>
      <w:r>
        <w:rPr>
          <w:rFonts w:hint="eastAsia"/>
        </w:rPr>
        <w:t>一、优化《个人购汇申请书》填报要求。为便于境内个人购汇填报，自</w:t>
      </w:r>
      <w:r>
        <w:rPr>
          <w:rFonts w:hint="eastAsia"/>
        </w:rPr>
        <w:t>2021</w:t>
      </w:r>
      <w:r>
        <w:rPr>
          <w:rFonts w:hint="eastAsia"/>
        </w:rPr>
        <w:t>年</w:t>
      </w:r>
      <w:r>
        <w:rPr>
          <w:rFonts w:hint="eastAsia"/>
        </w:rPr>
        <w:t>4</w:t>
      </w:r>
      <w:r>
        <w:rPr>
          <w:rFonts w:hint="eastAsia"/>
        </w:rPr>
        <w:t>月</w:t>
      </w:r>
      <w:r>
        <w:rPr>
          <w:rFonts w:hint="eastAsia"/>
        </w:rPr>
        <w:t>1</w:t>
      </w:r>
      <w:r>
        <w:rPr>
          <w:rFonts w:hint="eastAsia"/>
        </w:rPr>
        <w:t>日起（具体时间由银行自主确定，但最迟不得晚于</w:t>
      </w:r>
      <w:r>
        <w:rPr>
          <w:rFonts w:hint="eastAsia"/>
        </w:rPr>
        <w:t>2021</w:t>
      </w:r>
      <w:r>
        <w:rPr>
          <w:rFonts w:hint="eastAsia"/>
        </w:rPr>
        <w:t>年</w:t>
      </w:r>
      <w:r>
        <w:rPr>
          <w:rFonts w:hint="eastAsia"/>
        </w:rPr>
        <w:t>6</w:t>
      </w:r>
      <w:r>
        <w:rPr>
          <w:rFonts w:hint="eastAsia"/>
        </w:rPr>
        <w:t>月底），启用优化后的《个人购汇申请书》（见附件</w:t>
      </w:r>
      <w:r>
        <w:rPr>
          <w:rFonts w:hint="eastAsia"/>
        </w:rPr>
        <w:t>1</w:t>
      </w:r>
      <w:r>
        <w:rPr>
          <w:rFonts w:hint="eastAsia"/>
        </w:rPr>
        <w:t>）。已开办电子银行个人结售汇业务的银行，应按照《电子银行个人购汇优化技术要求参考》（见附件</w:t>
      </w:r>
      <w:r>
        <w:rPr>
          <w:rFonts w:hint="eastAsia"/>
        </w:rPr>
        <w:t>2</w:t>
      </w:r>
      <w:r>
        <w:rPr>
          <w:rFonts w:hint="eastAsia"/>
        </w:rPr>
        <w:t>），于</w:t>
      </w:r>
      <w:r>
        <w:rPr>
          <w:rFonts w:hint="eastAsia"/>
        </w:rPr>
        <w:t>2021</w:t>
      </w:r>
      <w:r>
        <w:rPr>
          <w:rFonts w:hint="eastAsia"/>
        </w:rPr>
        <w:t>年</w:t>
      </w:r>
      <w:r>
        <w:rPr>
          <w:rFonts w:hint="eastAsia"/>
        </w:rPr>
        <w:t>6</w:t>
      </w:r>
      <w:r>
        <w:rPr>
          <w:rFonts w:hint="eastAsia"/>
        </w:rPr>
        <w:t>月底前完成本银行系统改造。</w:t>
      </w:r>
    </w:p>
    <w:p w14:paraId="24E4812D" w14:textId="77777777" w:rsidR="002978F9" w:rsidRDefault="002978F9" w:rsidP="00596A24">
      <w:pPr>
        <w:pStyle w:val="AD"/>
        <w:spacing w:line="276" w:lineRule="auto"/>
      </w:pPr>
    </w:p>
    <w:p w14:paraId="6D3C557D" w14:textId="77777777" w:rsidR="002978F9" w:rsidRDefault="002978F9" w:rsidP="00596A24">
      <w:pPr>
        <w:pStyle w:val="AD"/>
        <w:spacing w:line="276" w:lineRule="auto"/>
      </w:pPr>
      <w:r>
        <w:rPr>
          <w:rFonts w:hint="eastAsia"/>
        </w:rPr>
        <w:t>二、调整银行个人购付汇用途一致性审核要求。银行对个人购汇后即办理付汇的业务，应进行购付汇用途一致性审核。</w:t>
      </w:r>
    </w:p>
    <w:p w14:paraId="3EA89AD1" w14:textId="77777777" w:rsidR="002978F9" w:rsidRDefault="002978F9" w:rsidP="00596A24">
      <w:pPr>
        <w:pStyle w:val="AD"/>
        <w:spacing w:line="276" w:lineRule="auto"/>
      </w:pPr>
    </w:p>
    <w:p w14:paraId="654807E2" w14:textId="77777777" w:rsidR="002978F9" w:rsidRDefault="002978F9" w:rsidP="00596A24">
      <w:pPr>
        <w:pStyle w:val="AD"/>
        <w:spacing w:line="276" w:lineRule="auto"/>
      </w:pPr>
      <w:r>
        <w:rPr>
          <w:rFonts w:hint="eastAsia"/>
        </w:rPr>
        <w:t>三、优化留学学费购付汇手续。对于境内个人留学期间在同一银行再次办理不占年度便利化额度的留学学费购付汇，银行可根据首次办理情况，免于审核重复性材料，购汇资金直接汇入原学校账户。银行应在购汇备注栏标注“便利化留学购汇”字样。</w:t>
      </w:r>
    </w:p>
    <w:p w14:paraId="17635FA4" w14:textId="77777777" w:rsidR="002978F9" w:rsidRDefault="002978F9" w:rsidP="00596A24">
      <w:pPr>
        <w:pStyle w:val="AD"/>
        <w:spacing w:line="276" w:lineRule="auto"/>
      </w:pPr>
    </w:p>
    <w:p w14:paraId="5A58D7B1" w14:textId="77777777" w:rsidR="002978F9" w:rsidRDefault="002978F9" w:rsidP="00596A24">
      <w:pPr>
        <w:pStyle w:val="AD"/>
        <w:spacing w:line="276" w:lineRule="auto"/>
      </w:pPr>
      <w:r>
        <w:rPr>
          <w:rFonts w:hint="eastAsia"/>
        </w:rPr>
        <w:t>四、优化境外工作的境内个人薪酬结汇手续。对于境外工作的境内个人在同一银行再次办理不占年度便利化额度的薪酬结汇，银行在确认薪酬真实合法的情况下，可根据首次办理情况，免于审核重复性材料，并在结汇备注栏标注“便利化薪酬结汇”字样。</w:t>
      </w:r>
    </w:p>
    <w:p w14:paraId="1D577539" w14:textId="77777777" w:rsidR="002978F9" w:rsidRDefault="002978F9" w:rsidP="00596A24">
      <w:pPr>
        <w:pStyle w:val="AD"/>
        <w:spacing w:line="276" w:lineRule="auto"/>
      </w:pPr>
    </w:p>
    <w:p w14:paraId="3F38CFF8" w14:textId="77777777" w:rsidR="002978F9" w:rsidRDefault="002978F9" w:rsidP="00596A24">
      <w:pPr>
        <w:pStyle w:val="AD"/>
        <w:spacing w:line="276" w:lineRule="auto"/>
      </w:pPr>
      <w:r>
        <w:rPr>
          <w:rFonts w:hint="eastAsia"/>
        </w:rPr>
        <w:t>五、优化在华工作境外个人薪酬购汇手续。对于在华工作境外个人劳动合同有效期内到同一银行再次办理合法薪酬收入购汇，银行可根据首次办理情况，免于审核重复性材料，并在购汇备注栏标注“便利化薪酬购汇”字样。</w:t>
      </w:r>
    </w:p>
    <w:p w14:paraId="018F22C8" w14:textId="77777777" w:rsidR="002978F9" w:rsidRDefault="002978F9" w:rsidP="00596A24">
      <w:pPr>
        <w:pStyle w:val="AD"/>
        <w:spacing w:line="276" w:lineRule="auto"/>
      </w:pPr>
    </w:p>
    <w:p w14:paraId="6B360348" w14:textId="77777777" w:rsidR="002978F9" w:rsidRDefault="002978F9" w:rsidP="00596A24">
      <w:pPr>
        <w:pStyle w:val="AD"/>
        <w:spacing w:line="276" w:lineRule="auto"/>
      </w:pPr>
      <w:r>
        <w:rPr>
          <w:rFonts w:hint="eastAsia"/>
        </w:rPr>
        <w:t>六、银行应建立个人经常项目特殊外汇业务处置制度，并事前向所在地外汇局书面报告。对于个人具有真实、合法交易背景的经常项目外汇业务，银行应坚持“实质重于形式”的审核原则，按照个人经常项目特殊外汇业务处置制度予以办理，并在购</w:t>
      </w:r>
      <w:r>
        <w:rPr>
          <w:rFonts w:hint="eastAsia"/>
        </w:rPr>
        <w:t>/</w:t>
      </w:r>
      <w:r>
        <w:rPr>
          <w:rFonts w:hint="eastAsia"/>
        </w:rPr>
        <w:t>结汇备注栏标注“特殊外汇业务处置”字样。</w:t>
      </w:r>
    </w:p>
    <w:p w14:paraId="1228DCF1" w14:textId="77777777" w:rsidR="002978F9" w:rsidRDefault="002978F9" w:rsidP="00596A24">
      <w:pPr>
        <w:pStyle w:val="AD"/>
        <w:spacing w:line="276" w:lineRule="auto"/>
      </w:pPr>
    </w:p>
    <w:p w14:paraId="44B0CB43" w14:textId="77777777" w:rsidR="002978F9" w:rsidRDefault="002978F9" w:rsidP="00596A24">
      <w:pPr>
        <w:pStyle w:val="AD"/>
        <w:spacing w:line="276" w:lineRule="auto"/>
      </w:pPr>
      <w:r>
        <w:rPr>
          <w:rFonts w:hint="eastAsia"/>
        </w:rPr>
        <w:t>七、个人本外币兑换特许业务经营机构办理个人外汇业务参照本通知执行。</w:t>
      </w:r>
    </w:p>
    <w:p w14:paraId="4D72AEA4" w14:textId="77777777" w:rsidR="002978F9" w:rsidRDefault="002978F9" w:rsidP="00596A24">
      <w:pPr>
        <w:pStyle w:val="AD"/>
        <w:spacing w:line="276" w:lineRule="auto"/>
      </w:pPr>
    </w:p>
    <w:p w14:paraId="43A2B999" w14:textId="77777777" w:rsidR="002978F9" w:rsidRDefault="002978F9" w:rsidP="00596A24">
      <w:pPr>
        <w:pStyle w:val="AD"/>
        <w:spacing w:line="276" w:lineRule="auto"/>
      </w:pPr>
      <w:r>
        <w:rPr>
          <w:rFonts w:hint="eastAsia"/>
        </w:rPr>
        <w:t>八、本通知自发布之日起施行。《国家外汇管理局关于优化个人外汇业务信息系统的通知》（汇发〔</w:t>
      </w:r>
      <w:r>
        <w:rPr>
          <w:rFonts w:hint="eastAsia"/>
        </w:rPr>
        <w:t>2016</w:t>
      </w:r>
      <w:r>
        <w:rPr>
          <w:rFonts w:hint="eastAsia"/>
        </w:rPr>
        <w:t>〕</w:t>
      </w:r>
      <w:r>
        <w:rPr>
          <w:rFonts w:hint="eastAsia"/>
        </w:rPr>
        <w:t>34</w:t>
      </w:r>
      <w:r>
        <w:rPr>
          <w:rFonts w:hint="eastAsia"/>
        </w:rPr>
        <w:t>号）同时废止。此前规定与本通知不一致的，按照本通知执行。</w:t>
      </w:r>
    </w:p>
    <w:p w14:paraId="54B6EB43" w14:textId="77777777" w:rsidR="002978F9" w:rsidRDefault="002978F9" w:rsidP="00596A24">
      <w:pPr>
        <w:pStyle w:val="AD"/>
        <w:spacing w:line="276" w:lineRule="auto"/>
      </w:pPr>
    </w:p>
    <w:p w14:paraId="086C4A87" w14:textId="77777777" w:rsidR="002978F9" w:rsidRDefault="002978F9" w:rsidP="00596A24">
      <w:pPr>
        <w:pStyle w:val="AD"/>
        <w:spacing w:line="276" w:lineRule="auto"/>
      </w:pPr>
      <w:r>
        <w:rPr>
          <w:rFonts w:hint="eastAsia"/>
        </w:rPr>
        <w:t>收到本通知后，国家外汇管理局各分局、外汇管理部应及时转发辖内中心支局（支局）、开办个人结售汇业务的地方性商业银行、外资银行及个人本外币兑换特许业务经营机构，各全国性中</w:t>
      </w:r>
      <w:r>
        <w:rPr>
          <w:rFonts w:hint="eastAsia"/>
        </w:rPr>
        <w:lastRenderedPageBreak/>
        <w:t>资银行应及时转发下属分支机构。</w:t>
      </w:r>
    </w:p>
    <w:p w14:paraId="3D73C0B6" w14:textId="77777777" w:rsidR="002978F9" w:rsidRDefault="002978F9" w:rsidP="00596A24">
      <w:pPr>
        <w:pStyle w:val="AD"/>
        <w:spacing w:line="276" w:lineRule="auto"/>
      </w:pPr>
    </w:p>
    <w:p w14:paraId="1CB4CB47" w14:textId="77777777" w:rsidR="002978F9" w:rsidRDefault="002978F9" w:rsidP="00596A24">
      <w:pPr>
        <w:pStyle w:val="AD"/>
        <w:spacing w:line="276" w:lineRule="auto"/>
      </w:pPr>
      <w:r>
        <w:rPr>
          <w:rFonts w:hint="eastAsia"/>
        </w:rPr>
        <w:t>特此通知。</w:t>
      </w:r>
    </w:p>
    <w:p w14:paraId="39558B6C" w14:textId="77777777" w:rsidR="002978F9" w:rsidRDefault="002978F9" w:rsidP="00596A24">
      <w:pPr>
        <w:pStyle w:val="AD"/>
        <w:spacing w:line="276" w:lineRule="auto"/>
      </w:pPr>
    </w:p>
    <w:p w14:paraId="21D286E0" w14:textId="48F1219B" w:rsidR="002978F9" w:rsidRDefault="002978F9" w:rsidP="00596A24">
      <w:pPr>
        <w:pStyle w:val="AD"/>
        <w:spacing w:line="276" w:lineRule="auto"/>
      </w:pPr>
      <w:r>
        <w:rPr>
          <w:rFonts w:hint="eastAsia"/>
        </w:rPr>
        <w:t>附件：</w:t>
      </w:r>
      <w:hyperlink r:id="rId6" w:history="1">
        <w:r w:rsidRPr="00326196">
          <w:rPr>
            <w:rStyle w:val="a9"/>
            <w:rFonts w:hint="eastAsia"/>
          </w:rPr>
          <w:t>1.</w:t>
        </w:r>
        <w:r w:rsidRPr="00326196">
          <w:rPr>
            <w:rStyle w:val="a9"/>
            <w:rFonts w:hint="eastAsia"/>
          </w:rPr>
          <w:t>个人购汇申请书</w:t>
        </w:r>
      </w:hyperlink>
    </w:p>
    <w:p w14:paraId="535DCC8A" w14:textId="09AFFB37" w:rsidR="002978F9" w:rsidRDefault="002978F9" w:rsidP="00596A24">
      <w:pPr>
        <w:pStyle w:val="AD"/>
        <w:spacing w:line="276" w:lineRule="auto"/>
      </w:pPr>
      <w:r>
        <w:rPr>
          <w:rFonts w:hint="eastAsia"/>
        </w:rPr>
        <w:t xml:space="preserve">      </w:t>
      </w:r>
      <w:hyperlink r:id="rId7" w:history="1">
        <w:r w:rsidRPr="00326196">
          <w:rPr>
            <w:rStyle w:val="a9"/>
            <w:rFonts w:hint="eastAsia"/>
          </w:rPr>
          <w:t>2.</w:t>
        </w:r>
        <w:r w:rsidRPr="00326196">
          <w:rPr>
            <w:rStyle w:val="a9"/>
            <w:rFonts w:hint="eastAsia"/>
          </w:rPr>
          <w:t>电子银行个人购汇优化技术要求参考</w:t>
        </w:r>
      </w:hyperlink>
    </w:p>
    <w:p w14:paraId="12B7B418" w14:textId="77777777" w:rsidR="002978F9" w:rsidRDefault="002978F9" w:rsidP="00326196">
      <w:pPr>
        <w:pStyle w:val="AD"/>
        <w:spacing w:line="276" w:lineRule="auto"/>
        <w:ind w:right="880"/>
        <w:rPr>
          <w:rFonts w:hint="eastAsia"/>
        </w:rPr>
      </w:pPr>
    </w:p>
    <w:p w14:paraId="7BB86531" w14:textId="6546D743" w:rsidR="002978F9" w:rsidRDefault="002978F9" w:rsidP="00E54357">
      <w:pPr>
        <w:pStyle w:val="AD"/>
        <w:spacing w:line="276" w:lineRule="auto"/>
        <w:jc w:val="right"/>
      </w:pPr>
      <w:r>
        <w:rPr>
          <w:rFonts w:hint="eastAsia"/>
        </w:rPr>
        <w:t>国家外汇管理局</w:t>
      </w:r>
    </w:p>
    <w:p w14:paraId="22BFCD0E" w14:textId="003C737B" w:rsidR="00B15193" w:rsidRDefault="002978F9" w:rsidP="00E54357">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25</w:t>
      </w:r>
      <w:r>
        <w:rPr>
          <w:rFonts w:hint="eastAsia"/>
        </w:rPr>
        <w:t>日</w:t>
      </w:r>
    </w:p>
    <w:p w14:paraId="2A26EBC9" w14:textId="3230370B" w:rsidR="002978F9" w:rsidRDefault="002978F9" w:rsidP="00596A24">
      <w:pPr>
        <w:pStyle w:val="AD"/>
        <w:spacing w:line="276" w:lineRule="auto"/>
      </w:pPr>
    </w:p>
    <w:p w14:paraId="7EBC6B9F" w14:textId="1D79AFAB" w:rsidR="002978F9" w:rsidRDefault="002978F9" w:rsidP="00596A24">
      <w:pPr>
        <w:pStyle w:val="AD"/>
        <w:spacing w:line="276" w:lineRule="auto"/>
      </w:pPr>
    </w:p>
    <w:p w14:paraId="6055052A" w14:textId="1F1884A1" w:rsidR="002978F9" w:rsidRDefault="002978F9" w:rsidP="00596A24">
      <w:pPr>
        <w:pStyle w:val="AD"/>
        <w:spacing w:line="276" w:lineRule="auto"/>
      </w:pPr>
      <w:r>
        <w:rPr>
          <w:rFonts w:hint="eastAsia"/>
        </w:rPr>
        <w:t>信息来源：</w:t>
      </w:r>
      <w:hyperlink r:id="rId8" w:history="1">
        <w:r w:rsidRPr="00C437AB">
          <w:rPr>
            <w:rStyle w:val="a9"/>
          </w:rPr>
          <w:t>http://www.safe.gov.cn/safe/2021/0402/18672.html</w:t>
        </w:r>
      </w:hyperlink>
    </w:p>
    <w:p w14:paraId="2F9A6298" w14:textId="77777777" w:rsidR="002978F9" w:rsidRPr="002978F9" w:rsidRDefault="002978F9" w:rsidP="00596A24">
      <w:pPr>
        <w:pStyle w:val="AD"/>
        <w:spacing w:line="276" w:lineRule="auto"/>
      </w:pPr>
    </w:p>
    <w:sectPr w:rsidR="002978F9" w:rsidRPr="002978F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D9F64" w14:textId="77777777" w:rsidR="008D0236" w:rsidRDefault="008D0236" w:rsidP="00C20A6A">
      <w:pPr>
        <w:spacing w:line="240" w:lineRule="auto"/>
      </w:pPr>
      <w:r>
        <w:separator/>
      </w:r>
    </w:p>
  </w:endnote>
  <w:endnote w:type="continuationSeparator" w:id="0">
    <w:p w14:paraId="1A5AF552" w14:textId="77777777" w:rsidR="008D0236" w:rsidRDefault="008D023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56018" w14:textId="77777777" w:rsidR="008D0236" w:rsidRDefault="008D0236" w:rsidP="00C20A6A">
      <w:pPr>
        <w:spacing w:line="240" w:lineRule="auto"/>
      </w:pPr>
      <w:r>
        <w:separator/>
      </w:r>
    </w:p>
  </w:footnote>
  <w:footnote w:type="continuationSeparator" w:id="0">
    <w:p w14:paraId="025927D0" w14:textId="77777777" w:rsidR="008D0236" w:rsidRDefault="008D023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F6346"/>
    <w:rsid w:val="000F4C6A"/>
    <w:rsid w:val="00176A25"/>
    <w:rsid w:val="001C4C6F"/>
    <w:rsid w:val="002978F9"/>
    <w:rsid w:val="00326196"/>
    <w:rsid w:val="003D27E2"/>
    <w:rsid w:val="004E4561"/>
    <w:rsid w:val="004F6346"/>
    <w:rsid w:val="00596A24"/>
    <w:rsid w:val="005F7C76"/>
    <w:rsid w:val="007D7BDB"/>
    <w:rsid w:val="008D0236"/>
    <w:rsid w:val="00A548E7"/>
    <w:rsid w:val="00B15193"/>
    <w:rsid w:val="00B731F1"/>
    <w:rsid w:val="00C20A6A"/>
    <w:rsid w:val="00C22624"/>
    <w:rsid w:val="00C86B6A"/>
    <w:rsid w:val="00D02718"/>
    <w:rsid w:val="00E5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466D"/>
  <w15:chartTrackingRefBased/>
  <w15:docId w15:val="{E556790E-1B9B-4FF2-A68B-DEAA128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978F9"/>
    <w:pPr>
      <w:ind w:leftChars="2500" w:left="100"/>
    </w:pPr>
  </w:style>
  <w:style w:type="character" w:customStyle="1" w:styleId="a8">
    <w:name w:val="日期 字符"/>
    <w:basedOn w:val="a0"/>
    <w:link w:val="a7"/>
    <w:uiPriority w:val="99"/>
    <w:semiHidden/>
    <w:rsid w:val="002978F9"/>
    <w:rPr>
      <w:rFonts w:ascii="Arial" w:eastAsia="宋体" w:hAnsi="Arial"/>
      <w:sz w:val="22"/>
    </w:rPr>
  </w:style>
  <w:style w:type="character" w:styleId="a9">
    <w:name w:val="Hyperlink"/>
    <w:basedOn w:val="a0"/>
    <w:uiPriority w:val="99"/>
    <w:unhideWhenUsed/>
    <w:rsid w:val="002978F9"/>
    <w:rPr>
      <w:color w:val="0000FF" w:themeColor="hyperlink"/>
      <w:u w:val="single"/>
    </w:rPr>
  </w:style>
  <w:style w:type="character" w:styleId="aa">
    <w:name w:val="Unresolved Mention"/>
    <w:basedOn w:val="a0"/>
    <w:uiPriority w:val="99"/>
    <w:semiHidden/>
    <w:unhideWhenUsed/>
    <w:rsid w:val="00297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gov.cn/safe/2021/0402/18672.html" TargetMode="External"/><Relationship Id="rId3" Type="http://schemas.openxmlformats.org/officeDocument/2006/relationships/webSettings" Target="webSettings.xml"/><Relationship Id="rId7" Type="http://schemas.openxmlformats.org/officeDocument/2006/relationships/hyperlink" Target="http://centrum.hhp.com.cn/newlaw/20210408004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408004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2021-04-08T09:42:00Z</dcterms:created>
  <dcterms:modified xsi:type="dcterms:W3CDTF">2021-04-09T02:49:00Z</dcterms:modified>
</cp:coreProperties>
</file>