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5EB226" w14:textId="4D4CFF90" w:rsidR="001B73E9" w:rsidRPr="00195117" w:rsidRDefault="001B73E9" w:rsidP="00374A96">
      <w:pPr>
        <w:pStyle w:val="AD"/>
        <w:spacing w:line="276" w:lineRule="auto"/>
        <w:jc w:val="center"/>
        <w:rPr>
          <w:b/>
          <w:bCs/>
          <w:color w:val="E36C0A" w:themeColor="accent6" w:themeShade="BF"/>
          <w:sz w:val="32"/>
          <w:szCs w:val="32"/>
        </w:rPr>
      </w:pPr>
      <w:r w:rsidRPr="00195117">
        <w:rPr>
          <w:rFonts w:hint="eastAsia"/>
          <w:b/>
          <w:bCs/>
          <w:color w:val="E36C0A" w:themeColor="accent6" w:themeShade="BF"/>
          <w:sz w:val="32"/>
          <w:szCs w:val="32"/>
        </w:rPr>
        <w:t>关于正确确定县级以上地方人民政府行政诉讼被告资格若干问题的规定</w:t>
      </w:r>
    </w:p>
    <w:p w14:paraId="1D40BAFA" w14:textId="1DF523AA" w:rsidR="001B73E9" w:rsidRDefault="001B73E9" w:rsidP="00374A96">
      <w:pPr>
        <w:pStyle w:val="AD"/>
        <w:spacing w:line="276" w:lineRule="auto"/>
        <w:jc w:val="center"/>
      </w:pPr>
      <w:r>
        <w:rPr>
          <w:rFonts w:hint="eastAsia"/>
        </w:rPr>
        <w:t>法释〔</w:t>
      </w:r>
      <w:r>
        <w:rPr>
          <w:rFonts w:hint="eastAsia"/>
        </w:rPr>
        <w:t>2021</w:t>
      </w:r>
      <w:r>
        <w:rPr>
          <w:rFonts w:hint="eastAsia"/>
        </w:rPr>
        <w:t>〕</w:t>
      </w:r>
      <w:r>
        <w:rPr>
          <w:rFonts w:hint="eastAsia"/>
        </w:rPr>
        <w:t>5</w:t>
      </w:r>
      <w:r>
        <w:rPr>
          <w:rFonts w:hint="eastAsia"/>
        </w:rPr>
        <w:t>号</w:t>
      </w:r>
    </w:p>
    <w:p w14:paraId="10E50BD6" w14:textId="41DE9241" w:rsidR="001B73E9" w:rsidRDefault="001B73E9" w:rsidP="002B5254">
      <w:pPr>
        <w:pStyle w:val="AD"/>
        <w:spacing w:line="276" w:lineRule="auto"/>
        <w:ind w:firstLine="440"/>
        <w:jc w:val="center"/>
      </w:pPr>
      <w:r>
        <w:rPr>
          <w:rFonts w:hint="eastAsia"/>
        </w:rPr>
        <w:t>（</w:t>
      </w:r>
      <w:r>
        <w:rPr>
          <w:rFonts w:hint="eastAsia"/>
        </w:rPr>
        <w:t>2021</w:t>
      </w:r>
      <w:r>
        <w:rPr>
          <w:rFonts w:hint="eastAsia"/>
        </w:rPr>
        <w:t>年</w:t>
      </w:r>
      <w:r>
        <w:rPr>
          <w:rFonts w:hint="eastAsia"/>
        </w:rPr>
        <w:t>2</w:t>
      </w:r>
      <w:r>
        <w:rPr>
          <w:rFonts w:hint="eastAsia"/>
        </w:rPr>
        <w:t>月</w:t>
      </w:r>
      <w:r>
        <w:rPr>
          <w:rFonts w:hint="eastAsia"/>
        </w:rPr>
        <w:t>22</w:t>
      </w:r>
      <w:r>
        <w:rPr>
          <w:rFonts w:hint="eastAsia"/>
        </w:rPr>
        <w:t>日最高人民法院审判委员会第</w:t>
      </w:r>
      <w:r>
        <w:rPr>
          <w:rFonts w:hint="eastAsia"/>
        </w:rPr>
        <w:t>1832</w:t>
      </w:r>
      <w:r>
        <w:rPr>
          <w:rFonts w:hint="eastAsia"/>
        </w:rPr>
        <w:t>次会议通过，自</w:t>
      </w:r>
      <w:r>
        <w:rPr>
          <w:rFonts w:hint="eastAsia"/>
        </w:rPr>
        <w:t>2021</w:t>
      </w:r>
      <w:r>
        <w:rPr>
          <w:rFonts w:hint="eastAsia"/>
        </w:rPr>
        <w:t>年</w:t>
      </w:r>
      <w:r>
        <w:rPr>
          <w:rFonts w:hint="eastAsia"/>
        </w:rPr>
        <w:t>4</w:t>
      </w:r>
      <w:r>
        <w:rPr>
          <w:rFonts w:hint="eastAsia"/>
        </w:rPr>
        <w:t>月</w:t>
      </w:r>
      <w:r>
        <w:rPr>
          <w:rFonts w:hint="eastAsia"/>
        </w:rPr>
        <w:t>1</w:t>
      </w:r>
      <w:r>
        <w:rPr>
          <w:rFonts w:hint="eastAsia"/>
        </w:rPr>
        <w:t>日起施行）</w:t>
      </w:r>
    </w:p>
    <w:p w14:paraId="63A1664D" w14:textId="77777777" w:rsidR="002B5254" w:rsidRPr="002B5254" w:rsidRDefault="002B5254" w:rsidP="002B5254">
      <w:pPr>
        <w:pStyle w:val="AD"/>
        <w:spacing w:line="276" w:lineRule="auto"/>
        <w:ind w:firstLine="440"/>
        <w:rPr>
          <w:rFonts w:hint="eastAsia"/>
        </w:rPr>
      </w:pPr>
    </w:p>
    <w:p w14:paraId="3E03D4C7" w14:textId="77777777" w:rsidR="001B73E9" w:rsidRDefault="001B73E9" w:rsidP="00374A96">
      <w:pPr>
        <w:pStyle w:val="AD"/>
        <w:spacing w:line="276" w:lineRule="auto"/>
      </w:pPr>
      <w:r>
        <w:rPr>
          <w:rFonts w:hint="eastAsia"/>
        </w:rPr>
        <w:t xml:space="preserve">　　为准确适用《中华人民共和国行政诉讼法》，依法正确确定县级以上地方人民政府的行政诉讼被告资格，结合人民法院行政审判工作实际，制定本解释。</w:t>
      </w:r>
    </w:p>
    <w:p w14:paraId="3406AD70" w14:textId="77777777" w:rsidR="001B73E9" w:rsidRDefault="001B73E9" w:rsidP="00374A96">
      <w:pPr>
        <w:pStyle w:val="AD"/>
        <w:spacing w:line="276" w:lineRule="auto"/>
      </w:pPr>
      <w:r>
        <w:rPr>
          <w:rFonts w:hint="eastAsia"/>
        </w:rPr>
        <w:t xml:space="preserve">　　第一条</w:t>
      </w:r>
      <w:r>
        <w:rPr>
          <w:rFonts w:hint="eastAsia"/>
        </w:rPr>
        <w:t xml:space="preserve">  </w:t>
      </w:r>
      <w:r>
        <w:rPr>
          <w:rFonts w:hint="eastAsia"/>
        </w:rPr>
        <w:t>法律、法规、规章规定属于县级以上地方人民政府职能部门的行政职权，县级以上地方人民政府通过听取报告、召开会议、组织研究、下发文件等方式进行指导，公民、法人或者其他组织不服县级以上地方人民政府的指导行为提起诉讼的，人民法院应当释明，告知其以具体实施行政行为的职能部门为被告。</w:t>
      </w:r>
    </w:p>
    <w:p w14:paraId="7F385EAD" w14:textId="77777777" w:rsidR="001B73E9" w:rsidRDefault="001B73E9" w:rsidP="00374A96">
      <w:pPr>
        <w:pStyle w:val="AD"/>
        <w:spacing w:line="276" w:lineRule="auto"/>
      </w:pPr>
      <w:r>
        <w:rPr>
          <w:rFonts w:hint="eastAsia"/>
        </w:rPr>
        <w:t xml:space="preserve">　　第二条</w:t>
      </w:r>
      <w:r>
        <w:rPr>
          <w:rFonts w:hint="eastAsia"/>
        </w:rPr>
        <w:t xml:space="preserve">  </w:t>
      </w:r>
      <w:r>
        <w:rPr>
          <w:rFonts w:hint="eastAsia"/>
        </w:rPr>
        <w:t>县级以上地方人民政府根据城乡规划法的规定，责成有关职能部门对违法建筑实施强制拆除，公民、法人或者其他组织不服强制拆除行为提起诉讼，人民法院应当根据行政诉讼法第二十六条第一款的规定，以</w:t>
      </w:r>
      <w:proofErr w:type="gramStart"/>
      <w:r>
        <w:rPr>
          <w:rFonts w:hint="eastAsia"/>
        </w:rPr>
        <w:t>作出</w:t>
      </w:r>
      <w:proofErr w:type="gramEnd"/>
      <w:r>
        <w:rPr>
          <w:rFonts w:hint="eastAsia"/>
        </w:rPr>
        <w:t>强制拆除决定的行政机关为被告；没有强制拆除决定书的，以具体实施强制拆除行为的职能部门为被告。</w:t>
      </w:r>
    </w:p>
    <w:p w14:paraId="30950D82" w14:textId="77777777" w:rsidR="001B73E9" w:rsidRDefault="001B73E9" w:rsidP="00374A96">
      <w:pPr>
        <w:pStyle w:val="AD"/>
        <w:spacing w:line="276" w:lineRule="auto"/>
      </w:pPr>
      <w:r>
        <w:rPr>
          <w:rFonts w:hint="eastAsia"/>
        </w:rPr>
        <w:t xml:space="preserve">　　第三条</w:t>
      </w:r>
      <w:r>
        <w:rPr>
          <w:rFonts w:hint="eastAsia"/>
        </w:rPr>
        <w:t xml:space="preserve">  </w:t>
      </w:r>
      <w:r>
        <w:rPr>
          <w:rFonts w:hint="eastAsia"/>
        </w:rPr>
        <w:t>公民、法人或者其他组织对集体土地征收中强制拆除房屋等行为不服提起诉讼的，除有证据证明系县级以上地方人民政府具体实施外，人民法院应当根据行政诉讼法第二十六条第一款的规定，以</w:t>
      </w:r>
      <w:proofErr w:type="gramStart"/>
      <w:r>
        <w:rPr>
          <w:rFonts w:hint="eastAsia"/>
        </w:rPr>
        <w:t>作出</w:t>
      </w:r>
      <w:proofErr w:type="gramEnd"/>
      <w:r>
        <w:rPr>
          <w:rFonts w:hint="eastAsia"/>
        </w:rPr>
        <w:t>强制拆除决定的行政机关为被告；没有强制拆除决定书的，以具体实施强制拆除等行为的行政机关为被告。</w:t>
      </w:r>
    </w:p>
    <w:p w14:paraId="6133F50A" w14:textId="77777777" w:rsidR="001B73E9" w:rsidRDefault="001B73E9" w:rsidP="00374A96">
      <w:pPr>
        <w:pStyle w:val="AD"/>
        <w:spacing w:line="276" w:lineRule="auto"/>
      </w:pPr>
      <w:r>
        <w:rPr>
          <w:rFonts w:hint="eastAsia"/>
        </w:rPr>
        <w:t xml:space="preserve">　　县级以上地方人民政府已经</w:t>
      </w:r>
      <w:proofErr w:type="gramStart"/>
      <w:r>
        <w:rPr>
          <w:rFonts w:hint="eastAsia"/>
        </w:rPr>
        <w:t>作出</w:t>
      </w:r>
      <w:proofErr w:type="gramEnd"/>
      <w:r>
        <w:rPr>
          <w:rFonts w:hint="eastAsia"/>
        </w:rPr>
        <w:t>国有土地上房屋征收与补偿决定，公民、法人或者其他组织不服具体实施房屋征收与补偿工作中的强制拆除房屋等行为提起诉讼的，人民法院应当根据行政诉讼法第二十六条第一款的规定，以</w:t>
      </w:r>
      <w:proofErr w:type="gramStart"/>
      <w:r>
        <w:rPr>
          <w:rFonts w:hint="eastAsia"/>
        </w:rPr>
        <w:t>作出</w:t>
      </w:r>
      <w:proofErr w:type="gramEnd"/>
      <w:r>
        <w:rPr>
          <w:rFonts w:hint="eastAsia"/>
        </w:rPr>
        <w:t>强制拆除决定的行政机关为被告；没有强制拆除决定书的，以县级以上地方人民政府确定的房屋征收部门为被告。</w:t>
      </w:r>
    </w:p>
    <w:p w14:paraId="214C5F0B" w14:textId="77777777" w:rsidR="001B73E9" w:rsidRDefault="001B73E9" w:rsidP="00374A96">
      <w:pPr>
        <w:pStyle w:val="AD"/>
        <w:spacing w:line="276" w:lineRule="auto"/>
      </w:pPr>
      <w:r>
        <w:rPr>
          <w:rFonts w:hint="eastAsia"/>
        </w:rPr>
        <w:t xml:space="preserve">　　第四条</w:t>
      </w:r>
      <w:r>
        <w:rPr>
          <w:rFonts w:hint="eastAsia"/>
        </w:rPr>
        <w:t xml:space="preserve">  </w:t>
      </w:r>
      <w:r>
        <w:rPr>
          <w:rFonts w:hint="eastAsia"/>
        </w:rPr>
        <w:t>公民、法人或者其他组织向县级以上地方人民政府申请履行法定职责或者给付义务，法律、法规、规章规定该职责或者义务属于下级人民政府或者相应职能部门的行政职权，县级以上地方人民政府已经转送下级人民政府或者相应职能部门处理并告知申请人，申请人起诉要求履行法定职责或者给付义务的，以下级人民政府或者相应职能部门为被告。</w:t>
      </w:r>
    </w:p>
    <w:p w14:paraId="09E6FDBE" w14:textId="77777777" w:rsidR="001B73E9" w:rsidRDefault="001B73E9" w:rsidP="00374A96">
      <w:pPr>
        <w:pStyle w:val="AD"/>
        <w:spacing w:line="276" w:lineRule="auto"/>
      </w:pPr>
      <w:r>
        <w:rPr>
          <w:rFonts w:hint="eastAsia"/>
        </w:rPr>
        <w:t xml:space="preserve">　　第五条</w:t>
      </w:r>
      <w:r>
        <w:rPr>
          <w:rFonts w:hint="eastAsia"/>
        </w:rPr>
        <w:t xml:space="preserve">  </w:t>
      </w:r>
      <w:r>
        <w:rPr>
          <w:rFonts w:hint="eastAsia"/>
        </w:rPr>
        <w:t>县级以上地方人民政府确定的不动产登记机构或者其他实际履行该职责的职能部门按照《不动产登记暂行条例》的规定办理不动产登记，公民、法人或者其他组织不服提起诉讼的，以不动产登记机构或者实际履行该职责的职能部门为被告。</w:t>
      </w:r>
    </w:p>
    <w:p w14:paraId="7DA12634" w14:textId="77777777" w:rsidR="001B73E9" w:rsidRDefault="001B73E9" w:rsidP="00374A96">
      <w:pPr>
        <w:pStyle w:val="AD"/>
        <w:spacing w:line="276" w:lineRule="auto"/>
      </w:pPr>
      <w:r>
        <w:rPr>
          <w:rFonts w:hint="eastAsia"/>
        </w:rPr>
        <w:t xml:space="preserve">　　公民、法人或者其他组织对《不动产登记暂行条例》实施之前由县级以上地方人民政府</w:t>
      </w:r>
      <w:proofErr w:type="gramStart"/>
      <w:r>
        <w:rPr>
          <w:rFonts w:hint="eastAsia"/>
        </w:rPr>
        <w:t>作出</w:t>
      </w:r>
      <w:proofErr w:type="gramEnd"/>
      <w:r>
        <w:rPr>
          <w:rFonts w:hint="eastAsia"/>
        </w:rPr>
        <w:t>的不动产登记行为不服提起诉讼的，以继续行使其职权的不动产登记机构或者实际履行该职责的职能部门为被告。</w:t>
      </w:r>
    </w:p>
    <w:p w14:paraId="2A43A455" w14:textId="77777777" w:rsidR="001B73E9" w:rsidRDefault="001B73E9" w:rsidP="00374A96">
      <w:pPr>
        <w:pStyle w:val="AD"/>
        <w:spacing w:line="276" w:lineRule="auto"/>
      </w:pPr>
      <w:r>
        <w:rPr>
          <w:rFonts w:hint="eastAsia"/>
        </w:rPr>
        <w:t xml:space="preserve">　　第六条</w:t>
      </w:r>
      <w:r>
        <w:rPr>
          <w:rFonts w:hint="eastAsia"/>
        </w:rPr>
        <w:t xml:space="preserve">  </w:t>
      </w:r>
      <w:r>
        <w:rPr>
          <w:rFonts w:hint="eastAsia"/>
        </w:rPr>
        <w:t>县级以上地方人民政府根据《中华人民共和国政府信息公开条例》的规定，指定具体机构负责政府信息公开日常工作，公民、法人或者其他组织对该指定机构以自己名义所作的政府信息公开行为不服提起诉讼的，以该指定机构为被告。</w:t>
      </w:r>
    </w:p>
    <w:p w14:paraId="00042C12" w14:textId="77777777" w:rsidR="001B73E9" w:rsidRDefault="001B73E9" w:rsidP="00374A96">
      <w:pPr>
        <w:pStyle w:val="AD"/>
        <w:spacing w:line="276" w:lineRule="auto"/>
      </w:pPr>
      <w:r>
        <w:rPr>
          <w:rFonts w:hint="eastAsia"/>
        </w:rPr>
        <w:t xml:space="preserve">　　第七条</w:t>
      </w:r>
      <w:r>
        <w:rPr>
          <w:rFonts w:hint="eastAsia"/>
        </w:rPr>
        <w:t xml:space="preserve">  </w:t>
      </w:r>
      <w:r>
        <w:rPr>
          <w:rFonts w:hint="eastAsia"/>
        </w:rPr>
        <w:t>被诉行政行为不是县级以上地方人民政府</w:t>
      </w:r>
      <w:proofErr w:type="gramStart"/>
      <w:r>
        <w:rPr>
          <w:rFonts w:hint="eastAsia"/>
        </w:rPr>
        <w:t>作出</w:t>
      </w:r>
      <w:proofErr w:type="gramEnd"/>
      <w:r>
        <w:rPr>
          <w:rFonts w:hint="eastAsia"/>
        </w:rPr>
        <w:t>，公民、法人或者其他组织以县级</w:t>
      </w:r>
      <w:r>
        <w:rPr>
          <w:rFonts w:hint="eastAsia"/>
        </w:rPr>
        <w:lastRenderedPageBreak/>
        <w:t>以上地方人民政府作为被告的，人民法院应当予以指导和</w:t>
      </w:r>
      <w:proofErr w:type="gramStart"/>
      <w:r>
        <w:rPr>
          <w:rFonts w:hint="eastAsia"/>
        </w:rPr>
        <w:t>释明</w:t>
      </w:r>
      <w:proofErr w:type="gramEnd"/>
      <w:r>
        <w:rPr>
          <w:rFonts w:hint="eastAsia"/>
        </w:rPr>
        <w:t>，告知其向有管辖权的人民法院起诉；公民、法人或者其他组织经人民法院释明仍不变更的，人民法院可以裁定不予立案，也可以将案件移送有管辖权的人民法院。</w:t>
      </w:r>
    </w:p>
    <w:p w14:paraId="3B1B6430" w14:textId="77777777" w:rsidR="001B73E9" w:rsidRDefault="001B73E9" w:rsidP="00374A96">
      <w:pPr>
        <w:pStyle w:val="AD"/>
        <w:spacing w:line="276" w:lineRule="auto"/>
      </w:pPr>
      <w:r>
        <w:rPr>
          <w:rFonts w:hint="eastAsia"/>
        </w:rPr>
        <w:t xml:space="preserve">　　第八条</w:t>
      </w:r>
      <w:r>
        <w:rPr>
          <w:rFonts w:hint="eastAsia"/>
        </w:rPr>
        <w:t xml:space="preserve">  </w:t>
      </w:r>
      <w:r>
        <w:rPr>
          <w:rFonts w:hint="eastAsia"/>
        </w:rPr>
        <w:t>本</w:t>
      </w:r>
      <w:proofErr w:type="gramStart"/>
      <w:r>
        <w:rPr>
          <w:rFonts w:hint="eastAsia"/>
        </w:rPr>
        <w:t>解释自</w:t>
      </w:r>
      <w:proofErr w:type="gramEnd"/>
      <w:r>
        <w:rPr>
          <w:rFonts w:hint="eastAsia"/>
        </w:rPr>
        <w:t>2021</w:t>
      </w:r>
      <w:r>
        <w:rPr>
          <w:rFonts w:hint="eastAsia"/>
        </w:rPr>
        <w:t>年</w:t>
      </w:r>
      <w:r>
        <w:rPr>
          <w:rFonts w:hint="eastAsia"/>
        </w:rPr>
        <w:t>4</w:t>
      </w:r>
      <w:r>
        <w:rPr>
          <w:rFonts w:hint="eastAsia"/>
        </w:rPr>
        <w:t>月</w:t>
      </w:r>
      <w:r>
        <w:rPr>
          <w:rFonts w:hint="eastAsia"/>
        </w:rPr>
        <w:t>1</w:t>
      </w:r>
      <w:r>
        <w:rPr>
          <w:rFonts w:hint="eastAsia"/>
        </w:rPr>
        <w:t>日起施行。本解释施行后，最高人民法院此前</w:t>
      </w:r>
      <w:proofErr w:type="gramStart"/>
      <w:r>
        <w:rPr>
          <w:rFonts w:hint="eastAsia"/>
        </w:rPr>
        <w:t>作出</w:t>
      </w:r>
      <w:proofErr w:type="gramEnd"/>
      <w:r>
        <w:rPr>
          <w:rFonts w:hint="eastAsia"/>
        </w:rPr>
        <w:t>的相关司法解释与本解释相抵触的，以本解释为准。</w:t>
      </w:r>
    </w:p>
    <w:p w14:paraId="24DF6161" w14:textId="186430FE" w:rsidR="001B73E9" w:rsidRDefault="001B73E9" w:rsidP="00FB43BB">
      <w:pPr>
        <w:pStyle w:val="AD"/>
        <w:spacing w:line="276" w:lineRule="auto"/>
        <w:ind w:firstLine="432"/>
      </w:pPr>
      <w:r>
        <w:rPr>
          <w:rFonts w:hint="eastAsia"/>
        </w:rPr>
        <w:t>《最高人民法院关于办理行政申请再审案件若干问题的规定》已于</w:t>
      </w:r>
      <w:r>
        <w:rPr>
          <w:rFonts w:hint="eastAsia"/>
        </w:rPr>
        <w:t>2021</w:t>
      </w:r>
      <w:r>
        <w:rPr>
          <w:rFonts w:hint="eastAsia"/>
        </w:rPr>
        <w:t>年</w:t>
      </w:r>
      <w:r>
        <w:rPr>
          <w:rFonts w:hint="eastAsia"/>
        </w:rPr>
        <w:t>3</w:t>
      </w:r>
      <w:r>
        <w:rPr>
          <w:rFonts w:hint="eastAsia"/>
        </w:rPr>
        <w:t>月</w:t>
      </w:r>
      <w:r>
        <w:rPr>
          <w:rFonts w:hint="eastAsia"/>
        </w:rPr>
        <w:t>1</w:t>
      </w:r>
      <w:r>
        <w:rPr>
          <w:rFonts w:hint="eastAsia"/>
        </w:rPr>
        <w:t>日由最高人民法院审判委员会第</w:t>
      </w:r>
      <w:r>
        <w:rPr>
          <w:rFonts w:hint="eastAsia"/>
        </w:rPr>
        <w:t>1833</w:t>
      </w:r>
      <w:r>
        <w:rPr>
          <w:rFonts w:hint="eastAsia"/>
        </w:rPr>
        <w:t>次会议通过，现予公布，自</w:t>
      </w:r>
      <w:r>
        <w:rPr>
          <w:rFonts w:hint="eastAsia"/>
        </w:rPr>
        <w:t>2021</w:t>
      </w:r>
      <w:r>
        <w:rPr>
          <w:rFonts w:hint="eastAsia"/>
        </w:rPr>
        <w:t>年</w:t>
      </w:r>
      <w:r>
        <w:rPr>
          <w:rFonts w:hint="eastAsia"/>
        </w:rPr>
        <w:t>4</w:t>
      </w:r>
      <w:r>
        <w:rPr>
          <w:rFonts w:hint="eastAsia"/>
        </w:rPr>
        <w:t>月</w:t>
      </w:r>
      <w:r>
        <w:rPr>
          <w:rFonts w:hint="eastAsia"/>
        </w:rPr>
        <w:t>1</w:t>
      </w:r>
      <w:r>
        <w:rPr>
          <w:rFonts w:hint="eastAsia"/>
        </w:rPr>
        <w:t>日起施行。</w:t>
      </w:r>
    </w:p>
    <w:p w14:paraId="6298BBA9" w14:textId="77777777" w:rsidR="00FB43BB" w:rsidRPr="00FB43BB" w:rsidRDefault="00FB43BB" w:rsidP="00FB43BB">
      <w:pPr>
        <w:pStyle w:val="AD"/>
        <w:spacing w:line="276" w:lineRule="auto"/>
        <w:ind w:firstLine="432"/>
      </w:pPr>
    </w:p>
    <w:p w14:paraId="28A782B5" w14:textId="77777777" w:rsidR="001B73E9" w:rsidRDefault="001B73E9" w:rsidP="00FB43BB">
      <w:pPr>
        <w:pStyle w:val="AD"/>
        <w:spacing w:line="276" w:lineRule="auto"/>
        <w:jc w:val="right"/>
      </w:pPr>
      <w:r>
        <w:rPr>
          <w:rFonts w:hint="eastAsia"/>
        </w:rPr>
        <w:t xml:space="preserve">　　最高人民法院</w:t>
      </w:r>
    </w:p>
    <w:p w14:paraId="377950C0" w14:textId="6A242C81" w:rsidR="00B15193" w:rsidRDefault="001B73E9" w:rsidP="00FB43BB">
      <w:pPr>
        <w:pStyle w:val="AD"/>
        <w:spacing w:line="276" w:lineRule="auto"/>
        <w:jc w:val="right"/>
      </w:pPr>
      <w:r>
        <w:rPr>
          <w:rFonts w:hint="eastAsia"/>
        </w:rPr>
        <w:t xml:space="preserve">　　</w:t>
      </w:r>
      <w:r>
        <w:rPr>
          <w:rFonts w:hint="eastAsia"/>
        </w:rPr>
        <w:t>2021</w:t>
      </w:r>
      <w:r>
        <w:rPr>
          <w:rFonts w:hint="eastAsia"/>
        </w:rPr>
        <w:t>年</w:t>
      </w:r>
      <w:r>
        <w:rPr>
          <w:rFonts w:hint="eastAsia"/>
        </w:rPr>
        <w:t>3</w:t>
      </w:r>
      <w:r>
        <w:rPr>
          <w:rFonts w:hint="eastAsia"/>
        </w:rPr>
        <w:t>月</w:t>
      </w:r>
      <w:r>
        <w:rPr>
          <w:rFonts w:hint="eastAsia"/>
        </w:rPr>
        <w:t>25</w:t>
      </w:r>
      <w:r>
        <w:rPr>
          <w:rFonts w:hint="eastAsia"/>
        </w:rPr>
        <w:t>日</w:t>
      </w:r>
    </w:p>
    <w:p w14:paraId="08CC4262" w14:textId="1F1B6433" w:rsidR="001B73E9" w:rsidRDefault="001B73E9" w:rsidP="00374A96">
      <w:pPr>
        <w:pStyle w:val="AD"/>
        <w:spacing w:line="276" w:lineRule="auto"/>
      </w:pPr>
    </w:p>
    <w:p w14:paraId="78DFADA6" w14:textId="3815B131" w:rsidR="001B73E9" w:rsidRDefault="001B73E9" w:rsidP="00374A96">
      <w:pPr>
        <w:pStyle w:val="AD"/>
        <w:spacing w:line="276" w:lineRule="auto"/>
      </w:pPr>
    </w:p>
    <w:p w14:paraId="333B7041" w14:textId="5E5BE3F2" w:rsidR="001B73E9" w:rsidRDefault="001B73E9" w:rsidP="00374A96">
      <w:pPr>
        <w:pStyle w:val="AD"/>
        <w:spacing w:line="276" w:lineRule="auto"/>
      </w:pPr>
      <w:r>
        <w:rPr>
          <w:rFonts w:hint="eastAsia"/>
        </w:rPr>
        <w:t>信息来源：</w:t>
      </w:r>
      <w:hyperlink r:id="rId6" w:history="1">
        <w:r w:rsidRPr="00BB261C">
          <w:rPr>
            <w:rStyle w:val="a9"/>
          </w:rPr>
          <w:t>http://www.court.gov.cn/fabu-xiangqing-293031.html</w:t>
        </w:r>
      </w:hyperlink>
    </w:p>
    <w:p w14:paraId="72FA206E" w14:textId="77777777" w:rsidR="001B73E9" w:rsidRPr="001B73E9" w:rsidRDefault="001B73E9" w:rsidP="00374A96">
      <w:pPr>
        <w:pStyle w:val="AD"/>
        <w:spacing w:line="276" w:lineRule="auto"/>
      </w:pPr>
    </w:p>
    <w:sectPr w:rsidR="001B73E9" w:rsidRPr="001B73E9"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598C4B" w14:textId="77777777" w:rsidR="0036662D" w:rsidRDefault="0036662D" w:rsidP="00C20A6A">
      <w:pPr>
        <w:spacing w:line="240" w:lineRule="auto"/>
      </w:pPr>
      <w:r>
        <w:separator/>
      </w:r>
    </w:p>
  </w:endnote>
  <w:endnote w:type="continuationSeparator" w:id="0">
    <w:p w14:paraId="7848E738" w14:textId="77777777" w:rsidR="0036662D" w:rsidRDefault="0036662D"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D22F2D" w14:textId="77777777" w:rsidR="0036662D" w:rsidRDefault="0036662D" w:rsidP="00C20A6A">
      <w:pPr>
        <w:spacing w:line="240" w:lineRule="auto"/>
      </w:pPr>
      <w:r>
        <w:separator/>
      </w:r>
    </w:p>
  </w:footnote>
  <w:footnote w:type="continuationSeparator" w:id="0">
    <w:p w14:paraId="22044118" w14:textId="77777777" w:rsidR="0036662D" w:rsidRDefault="0036662D"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B31F77"/>
    <w:rsid w:val="000F4C6A"/>
    <w:rsid w:val="00176A25"/>
    <w:rsid w:val="00195117"/>
    <w:rsid w:val="001B73E9"/>
    <w:rsid w:val="001C4C6F"/>
    <w:rsid w:val="002B5254"/>
    <w:rsid w:val="0036662D"/>
    <w:rsid w:val="00367B6F"/>
    <w:rsid w:val="00374A96"/>
    <w:rsid w:val="003D27E2"/>
    <w:rsid w:val="005F7C76"/>
    <w:rsid w:val="007D7BDB"/>
    <w:rsid w:val="00A548E7"/>
    <w:rsid w:val="00AD4518"/>
    <w:rsid w:val="00B15193"/>
    <w:rsid w:val="00B31F77"/>
    <w:rsid w:val="00B731F1"/>
    <w:rsid w:val="00C20A6A"/>
    <w:rsid w:val="00C22624"/>
    <w:rsid w:val="00D02718"/>
    <w:rsid w:val="00FB43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B9DB6F"/>
  <w15:chartTrackingRefBased/>
  <w15:docId w15:val="{8F97678F-13F1-49DF-9AB5-98A936878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paragraph" w:styleId="a7">
    <w:name w:val="Date"/>
    <w:basedOn w:val="a"/>
    <w:next w:val="a"/>
    <w:link w:val="a8"/>
    <w:uiPriority w:val="99"/>
    <w:semiHidden/>
    <w:unhideWhenUsed/>
    <w:rsid w:val="001B73E9"/>
    <w:pPr>
      <w:ind w:leftChars="2500" w:left="100"/>
    </w:pPr>
  </w:style>
  <w:style w:type="character" w:customStyle="1" w:styleId="a8">
    <w:name w:val="日期 字符"/>
    <w:basedOn w:val="a0"/>
    <w:link w:val="a7"/>
    <w:uiPriority w:val="99"/>
    <w:semiHidden/>
    <w:rsid w:val="001B73E9"/>
    <w:rPr>
      <w:rFonts w:ascii="Arial" w:eastAsia="宋体" w:hAnsi="Arial"/>
      <w:sz w:val="22"/>
    </w:rPr>
  </w:style>
  <w:style w:type="character" w:styleId="a9">
    <w:name w:val="Hyperlink"/>
    <w:basedOn w:val="a0"/>
    <w:uiPriority w:val="99"/>
    <w:unhideWhenUsed/>
    <w:rsid w:val="001B73E9"/>
    <w:rPr>
      <w:color w:val="0000FF" w:themeColor="hyperlink"/>
      <w:u w:val="single"/>
    </w:rPr>
  </w:style>
  <w:style w:type="character" w:styleId="aa">
    <w:name w:val="Unresolved Mention"/>
    <w:basedOn w:val="a0"/>
    <w:uiPriority w:val="99"/>
    <w:semiHidden/>
    <w:unhideWhenUsed/>
    <w:rsid w:val="001B73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urt.gov.cn/fabu-xiangqing-293031.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248</Words>
  <Characters>1414</Characters>
  <Application>Microsoft Office Word</Application>
  <DocSecurity>0</DocSecurity>
  <Lines>11</Lines>
  <Paragraphs>3</Paragraphs>
  <ScaleCrop>false</ScaleCrop>
  <Company/>
  <LinksUpToDate>false</LinksUpToDate>
  <CharactersWithSpaces>1659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7</cp:revision>
  <dcterms:created xsi:type="dcterms:W3CDTF">2021-04-01T09:49:00Z</dcterms:created>
  <dcterms:modified xsi:type="dcterms:W3CDTF">2021-04-01T14:16:00Z</dcterms:modified>
</cp:coreProperties>
</file>