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ABC0F" w14:textId="77777777" w:rsidR="009C42B6" w:rsidRPr="009C42B6" w:rsidRDefault="009C42B6" w:rsidP="009C42B6">
      <w:pPr>
        <w:pStyle w:val="AD"/>
        <w:spacing w:line="276" w:lineRule="auto"/>
        <w:jc w:val="center"/>
        <w:rPr>
          <w:rFonts w:hint="eastAsia"/>
          <w:b/>
          <w:bCs/>
          <w:color w:val="E36C0A" w:themeColor="accent6" w:themeShade="BF"/>
          <w:sz w:val="32"/>
          <w:szCs w:val="32"/>
        </w:rPr>
      </w:pPr>
      <w:bookmarkStart w:id="0" w:name="_GoBack"/>
      <w:bookmarkEnd w:id="0"/>
      <w:r w:rsidRPr="009C42B6">
        <w:rPr>
          <w:rFonts w:hint="eastAsia"/>
          <w:b/>
          <w:bCs/>
          <w:color w:val="E36C0A" w:themeColor="accent6" w:themeShade="BF"/>
          <w:sz w:val="32"/>
          <w:szCs w:val="32"/>
        </w:rPr>
        <w:t>关于加强中央企业资金内部控制管理有关事项的通知</w:t>
      </w:r>
    </w:p>
    <w:p w14:paraId="3F8CC1B0" w14:textId="77777777" w:rsidR="005679FA" w:rsidRDefault="005679FA" w:rsidP="009C42B6">
      <w:pPr>
        <w:pStyle w:val="AD"/>
        <w:spacing w:line="276" w:lineRule="auto"/>
        <w:jc w:val="center"/>
        <w:rPr>
          <w:rFonts w:hint="eastAsia"/>
        </w:rPr>
      </w:pPr>
      <w:r>
        <w:rPr>
          <w:rFonts w:hint="eastAsia"/>
        </w:rPr>
        <w:t>国</w:t>
      </w:r>
      <w:proofErr w:type="gramStart"/>
      <w:r>
        <w:rPr>
          <w:rFonts w:hint="eastAsia"/>
        </w:rPr>
        <w:t>资发监督</w:t>
      </w:r>
      <w:proofErr w:type="gramEnd"/>
      <w:r>
        <w:rPr>
          <w:rFonts w:hint="eastAsia"/>
        </w:rPr>
        <w:t>〔</w:t>
      </w:r>
      <w:r>
        <w:rPr>
          <w:rFonts w:hint="eastAsia"/>
        </w:rPr>
        <w:t>2021</w:t>
      </w:r>
      <w:r>
        <w:rPr>
          <w:rFonts w:hint="eastAsia"/>
        </w:rPr>
        <w:t>〕</w:t>
      </w:r>
      <w:r>
        <w:rPr>
          <w:rFonts w:hint="eastAsia"/>
        </w:rPr>
        <w:t>19</w:t>
      </w:r>
      <w:r>
        <w:rPr>
          <w:rFonts w:hint="eastAsia"/>
        </w:rPr>
        <w:t>号</w:t>
      </w:r>
    </w:p>
    <w:p w14:paraId="2F48D390" w14:textId="77777777" w:rsidR="005679FA" w:rsidRDefault="005679FA" w:rsidP="009C42B6">
      <w:pPr>
        <w:pStyle w:val="AD"/>
        <w:spacing w:line="276" w:lineRule="auto"/>
      </w:pPr>
    </w:p>
    <w:p w14:paraId="17E8FCBA" w14:textId="77777777" w:rsidR="005679FA" w:rsidRDefault="005679FA" w:rsidP="009C42B6">
      <w:pPr>
        <w:pStyle w:val="AD"/>
        <w:spacing w:line="276" w:lineRule="auto"/>
        <w:rPr>
          <w:rFonts w:hint="eastAsia"/>
        </w:rPr>
      </w:pPr>
      <w:r>
        <w:rPr>
          <w:rFonts w:hint="eastAsia"/>
        </w:rPr>
        <w:t>各中央企业：</w:t>
      </w:r>
    </w:p>
    <w:p w14:paraId="60343500" w14:textId="77777777" w:rsidR="005679FA" w:rsidRDefault="005679FA" w:rsidP="009C42B6">
      <w:pPr>
        <w:pStyle w:val="AD"/>
        <w:spacing w:line="276" w:lineRule="auto"/>
      </w:pPr>
    </w:p>
    <w:p w14:paraId="4DE21B23" w14:textId="77777777" w:rsidR="005679FA" w:rsidRDefault="005679FA" w:rsidP="009C42B6">
      <w:pPr>
        <w:pStyle w:val="AD"/>
        <w:spacing w:line="276" w:lineRule="auto"/>
        <w:rPr>
          <w:rFonts w:hint="eastAsia"/>
        </w:rPr>
      </w:pPr>
      <w:r>
        <w:rPr>
          <w:rFonts w:hint="eastAsia"/>
        </w:rPr>
        <w:t>为贯彻党中央、国务院关于防范化解重大风险决策部署，落实国企改革三年行动要求，加强中央企业资金内部控制（以下简称内控）管理，进一步提升防范重大资金损失风险能力，根据《关于印发</w:t>
      </w:r>
      <w:r>
        <w:rPr>
          <w:rFonts w:hint="eastAsia"/>
        </w:rPr>
        <w:t>&lt;</w:t>
      </w:r>
      <w:r>
        <w:rPr>
          <w:rFonts w:hint="eastAsia"/>
        </w:rPr>
        <w:t>关于加强中央企业内部控制体系建设与监督工作的实施意见</w:t>
      </w:r>
      <w:r>
        <w:rPr>
          <w:rFonts w:hint="eastAsia"/>
        </w:rPr>
        <w:t>&gt;</w:t>
      </w:r>
      <w:r>
        <w:rPr>
          <w:rFonts w:hint="eastAsia"/>
        </w:rPr>
        <w:t>的通知》（国</w:t>
      </w:r>
      <w:proofErr w:type="gramStart"/>
      <w:r>
        <w:rPr>
          <w:rFonts w:hint="eastAsia"/>
        </w:rPr>
        <w:t>资发监督规</w:t>
      </w:r>
      <w:proofErr w:type="gramEnd"/>
      <w:r>
        <w:rPr>
          <w:rFonts w:hint="eastAsia"/>
        </w:rPr>
        <w:t>〔</w:t>
      </w:r>
      <w:r>
        <w:rPr>
          <w:rFonts w:hint="eastAsia"/>
        </w:rPr>
        <w:t>2019</w:t>
      </w:r>
      <w:r>
        <w:rPr>
          <w:rFonts w:hint="eastAsia"/>
        </w:rPr>
        <w:t>〕</w:t>
      </w:r>
      <w:r>
        <w:rPr>
          <w:rFonts w:hint="eastAsia"/>
        </w:rPr>
        <w:t>101</w:t>
      </w:r>
      <w:r>
        <w:rPr>
          <w:rFonts w:hint="eastAsia"/>
        </w:rPr>
        <w:t>号）等规定，现就有关事项通知如下：</w:t>
      </w:r>
    </w:p>
    <w:p w14:paraId="7637FB42" w14:textId="77777777" w:rsidR="005679FA" w:rsidRDefault="005679FA" w:rsidP="009C42B6">
      <w:pPr>
        <w:pStyle w:val="AD"/>
        <w:spacing w:line="276" w:lineRule="auto"/>
      </w:pPr>
    </w:p>
    <w:p w14:paraId="5CAF023E" w14:textId="77777777" w:rsidR="005679FA" w:rsidRDefault="005679FA" w:rsidP="009C42B6">
      <w:pPr>
        <w:pStyle w:val="AD"/>
        <w:spacing w:line="276" w:lineRule="auto"/>
        <w:rPr>
          <w:rFonts w:hint="eastAsia"/>
        </w:rPr>
      </w:pPr>
      <w:r>
        <w:rPr>
          <w:rFonts w:hint="eastAsia"/>
        </w:rPr>
        <w:t>一、建立健全资金内控管理体制机制</w:t>
      </w:r>
    </w:p>
    <w:p w14:paraId="40F5FAB0" w14:textId="77777777" w:rsidR="005679FA" w:rsidRDefault="005679FA" w:rsidP="009C42B6">
      <w:pPr>
        <w:pStyle w:val="AD"/>
        <w:spacing w:line="276" w:lineRule="auto"/>
      </w:pPr>
    </w:p>
    <w:p w14:paraId="379EF693" w14:textId="77777777" w:rsidR="005679FA" w:rsidRDefault="005679FA" w:rsidP="009C42B6">
      <w:pPr>
        <w:pStyle w:val="AD"/>
        <w:spacing w:line="276" w:lineRule="auto"/>
        <w:rPr>
          <w:rFonts w:hint="eastAsia"/>
        </w:rPr>
      </w:pPr>
      <w:r>
        <w:rPr>
          <w:rFonts w:hint="eastAsia"/>
        </w:rPr>
        <w:t>近年来，一些中央企业集中出现资金管理体系不健全、制度执行不到位、支付管理不规范、信息化建设滞后等问题，个别基层单位甚至发生重大违纪违法案件，暴露出资金内控管理严重缺失。各中央企业要高度重视资金内控管理工作，以提升资金内控有效性为目标，以强化资金内控监督为抓手，以健全资金内控制度体系为保障，落实内控部门的资金内控监管责任、工作职责与权限，明确监管工作程序、标准和方式方法，构建事前有规范、事中有控制、事后有评价的工作机制，形成内控部门与业务、财务（资金）、审计等部门运转顺畅、有效监督、相互制衡的工作体系。</w:t>
      </w:r>
    </w:p>
    <w:p w14:paraId="68662790" w14:textId="77777777" w:rsidR="005679FA" w:rsidRDefault="005679FA" w:rsidP="009C42B6">
      <w:pPr>
        <w:pStyle w:val="AD"/>
        <w:spacing w:line="276" w:lineRule="auto"/>
      </w:pPr>
    </w:p>
    <w:p w14:paraId="3208A810" w14:textId="77777777" w:rsidR="005679FA" w:rsidRDefault="005679FA" w:rsidP="009C42B6">
      <w:pPr>
        <w:pStyle w:val="AD"/>
        <w:spacing w:line="276" w:lineRule="auto"/>
        <w:rPr>
          <w:rFonts w:hint="eastAsia"/>
        </w:rPr>
      </w:pPr>
      <w:r>
        <w:rPr>
          <w:rFonts w:hint="eastAsia"/>
        </w:rPr>
        <w:t>二、切实加强资金内控制度建设</w:t>
      </w:r>
    </w:p>
    <w:p w14:paraId="1124451B" w14:textId="77777777" w:rsidR="005679FA" w:rsidRDefault="005679FA" w:rsidP="009C42B6">
      <w:pPr>
        <w:pStyle w:val="AD"/>
        <w:spacing w:line="276" w:lineRule="auto"/>
      </w:pPr>
    </w:p>
    <w:p w14:paraId="377BE7BD" w14:textId="77777777" w:rsidR="005679FA" w:rsidRDefault="005679FA" w:rsidP="009C42B6">
      <w:pPr>
        <w:pStyle w:val="AD"/>
        <w:spacing w:line="276" w:lineRule="auto"/>
        <w:rPr>
          <w:rFonts w:hint="eastAsia"/>
        </w:rPr>
      </w:pPr>
      <w:r>
        <w:rPr>
          <w:rFonts w:hint="eastAsia"/>
        </w:rPr>
        <w:t>各中央企业内控部门要在推动完善财务资金制度的基础上，结合企业行业特点、业务模式和经营规模，抓紧建立资金内控监管制度，明确资金内控监管工作原则和任务、职责权限和控制程序，细化资金内控在资金支出、审批联签、收支结算、银行账户、</w:t>
      </w:r>
      <w:proofErr w:type="gramStart"/>
      <w:r>
        <w:rPr>
          <w:rFonts w:hint="eastAsia"/>
        </w:rPr>
        <w:t>网银支付</w:t>
      </w:r>
      <w:proofErr w:type="gramEnd"/>
      <w:r>
        <w:rPr>
          <w:rFonts w:hint="eastAsia"/>
        </w:rPr>
        <w:t>、票据管理、不相容岗位设置、上岗资质、定期轮岗、后续教育等关键环节的控制触发条件和控制标准、缺陷认定标准，确保内控要求嵌入到资金活动全流程。根据国家有关部门及国资委关于资金管理相关政策制度变化，以及新设立企业（项目部、分支机构）、新开办业务、资金结算方式更新等情况，及时督促、提示业务部门和财务（资金）部门制定或修订资金业务管理制度，并对资金业务制度修订情况进行检查复核，为有效防范重大资金风险提供制度保障。</w:t>
      </w:r>
    </w:p>
    <w:p w14:paraId="277609B7" w14:textId="77777777" w:rsidR="005679FA" w:rsidRDefault="005679FA" w:rsidP="009C42B6">
      <w:pPr>
        <w:pStyle w:val="AD"/>
        <w:spacing w:line="276" w:lineRule="auto"/>
      </w:pPr>
    </w:p>
    <w:p w14:paraId="765F72F7" w14:textId="77777777" w:rsidR="005679FA" w:rsidRDefault="005679FA" w:rsidP="009C42B6">
      <w:pPr>
        <w:pStyle w:val="AD"/>
        <w:spacing w:line="276" w:lineRule="auto"/>
        <w:rPr>
          <w:rFonts w:hint="eastAsia"/>
        </w:rPr>
      </w:pPr>
      <w:r>
        <w:rPr>
          <w:rFonts w:hint="eastAsia"/>
        </w:rPr>
        <w:t>三、持续强化资金内控关键环节监管</w:t>
      </w:r>
    </w:p>
    <w:p w14:paraId="46CA647E" w14:textId="77777777" w:rsidR="005679FA" w:rsidRDefault="005679FA" w:rsidP="009C42B6">
      <w:pPr>
        <w:pStyle w:val="AD"/>
        <w:spacing w:line="276" w:lineRule="auto"/>
      </w:pPr>
    </w:p>
    <w:p w14:paraId="5D7E0BDD" w14:textId="77777777" w:rsidR="005679FA" w:rsidRDefault="005679FA" w:rsidP="009C42B6">
      <w:pPr>
        <w:pStyle w:val="AD"/>
        <w:spacing w:line="276" w:lineRule="auto"/>
        <w:rPr>
          <w:rFonts w:hint="eastAsia"/>
        </w:rPr>
      </w:pPr>
      <w:r>
        <w:rPr>
          <w:rFonts w:hint="eastAsia"/>
        </w:rPr>
        <w:t>各中央企业内控部门要建立资金内控关键要素管理台账，对企业资金账户、核心岗位、上岗人员、审批权限、银行印鉴</w:t>
      </w:r>
      <w:proofErr w:type="gramStart"/>
      <w:r>
        <w:rPr>
          <w:rFonts w:hint="eastAsia"/>
        </w:rPr>
        <w:t>及网银</w:t>
      </w:r>
      <w:proofErr w:type="gramEnd"/>
      <w:r>
        <w:rPr>
          <w:rFonts w:hint="eastAsia"/>
        </w:rPr>
        <w:t>U</w:t>
      </w:r>
      <w:r>
        <w:rPr>
          <w:rFonts w:hint="eastAsia"/>
        </w:rPr>
        <w:t>盾责任人等关键要素进行限时备案管理。持续跟踪监测预警资金内控要素异动情况，对资金内控关键要素失控、重要岗位权力制衡缺失、大额资金拨付异常等</w:t>
      </w:r>
      <w:proofErr w:type="gramStart"/>
      <w:r>
        <w:rPr>
          <w:rFonts w:hint="eastAsia"/>
        </w:rPr>
        <w:t>风险第</w:t>
      </w:r>
      <w:proofErr w:type="gramEnd"/>
      <w:r>
        <w:rPr>
          <w:rFonts w:hint="eastAsia"/>
        </w:rPr>
        <w:t>一时间启动紧急应对控制措施。严格银行账户</w:t>
      </w:r>
      <w:proofErr w:type="gramStart"/>
      <w:r>
        <w:rPr>
          <w:rFonts w:hint="eastAsia"/>
        </w:rPr>
        <w:t>和网银监管</w:t>
      </w:r>
      <w:proofErr w:type="gramEnd"/>
      <w:r>
        <w:rPr>
          <w:rFonts w:hint="eastAsia"/>
        </w:rPr>
        <w:t>，定期或不定期对特殊银行账户开户审批、银行印鉴</w:t>
      </w:r>
      <w:proofErr w:type="gramStart"/>
      <w:r>
        <w:rPr>
          <w:rFonts w:hint="eastAsia"/>
        </w:rPr>
        <w:t>及网银</w:t>
      </w:r>
      <w:proofErr w:type="gramEnd"/>
      <w:r>
        <w:rPr>
          <w:rFonts w:hint="eastAsia"/>
        </w:rPr>
        <w:t>U</w:t>
      </w:r>
      <w:r>
        <w:rPr>
          <w:rFonts w:hint="eastAsia"/>
        </w:rPr>
        <w:t>盾分设管理、银行账户</w:t>
      </w:r>
      <w:proofErr w:type="gramStart"/>
      <w:r>
        <w:rPr>
          <w:rFonts w:hint="eastAsia"/>
        </w:rPr>
        <w:t>和网银交接</w:t>
      </w:r>
      <w:proofErr w:type="gramEnd"/>
      <w:r>
        <w:rPr>
          <w:rFonts w:hint="eastAsia"/>
        </w:rPr>
        <w:t>程序及密码定期更换等情况进行评估，确保账户和</w:t>
      </w:r>
      <w:proofErr w:type="gramStart"/>
      <w:r>
        <w:rPr>
          <w:rFonts w:hint="eastAsia"/>
        </w:rPr>
        <w:t>网银安全</w:t>
      </w:r>
      <w:proofErr w:type="gramEnd"/>
      <w:r>
        <w:rPr>
          <w:rFonts w:hint="eastAsia"/>
        </w:rPr>
        <w:t>可控。加强大额资金支付监管，从资金支付额度、支付频</w:t>
      </w:r>
      <w:r>
        <w:rPr>
          <w:rFonts w:hint="eastAsia"/>
        </w:rPr>
        <w:lastRenderedPageBreak/>
        <w:t>次、支付依据等方面研究设置控制参数，对于短期内向同一账户多次或单笔支付大额资金、预算外支出、超出预付信用敞口限额支付预付款等异常情形，通过线上信息系统推送或线下报送（未建立财务资金信息系统企业）等方式及时预警风险，纠正违规问题，消除资金风险隐患。按照不相容岗位分离、定期轮岗、</w:t>
      </w:r>
      <w:proofErr w:type="gramStart"/>
      <w:r>
        <w:rPr>
          <w:rFonts w:hint="eastAsia"/>
        </w:rPr>
        <w:t>人岗相适</w:t>
      </w:r>
      <w:proofErr w:type="gramEnd"/>
      <w:r>
        <w:rPr>
          <w:rFonts w:hint="eastAsia"/>
        </w:rPr>
        <w:t>原则，对人员调动、分工调整等情形，内控部门应当出具复核意见；定期开展各级企业资金岗位任职情况巡检巡评，对资金结算中心等重点单位进行重点检查，对不符合内控要求的，应当限期整改。</w:t>
      </w:r>
    </w:p>
    <w:p w14:paraId="479A122C" w14:textId="77777777" w:rsidR="005679FA" w:rsidRDefault="005679FA" w:rsidP="009C42B6">
      <w:pPr>
        <w:pStyle w:val="AD"/>
        <w:spacing w:line="276" w:lineRule="auto"/>
      </w:pPr>
    </w:p>
    <w:p w14:paraId="7CB8099B" w14:textId="77777777" w:rsidR="005679FA" w:rsidRDefault="005679FA" w:rsidP="009C42B6">
      <w:pPr>
        <w:pStyle w:val="AD"/>
        <w:spacing w:line="276" w:lineRule="auto"/>
        <w:rPr>
          <w:rFonts w:hint="eastAsia"/>
        </w:rPr>
      </w:pPr>
      <w:r>
        <w:rPr>
          <w:rFonts w:hint="eastAsia"/>
        </w:rPr>
        <w:t>四、加快推进资金内控信息化建设</w:t>
      </w:r>
    </w:p>
    <w:p w14:paraId="3B558787" w14:textId="77777777" w:rsidR="005679FA" w:rsidRDefault="005679FA" w:rsidP="009C42B6">
      <w:pPr>
        <w:pStyle w:val="AD"/>
        <w:spacing w:line="276" w:lineRule="auto"/>
      </w:pPr>
    </w:p>
    <w:p w14:paraId="5B3D2893" w14:textId="77777777" w:rsidR="005679FA" w:rsidRDefault="005679FA" w:rsidP="009C42B6">
      <w:pPr>
        <w:pStyle w:val="AD"/>
        <w:spacing w:line="276" w:lineRule="auto"/>
        <w:rPr>
          <w:rFonts w:hint="eastAsia"/>
        </w:rPr>
      </w:pPr>
      <w:r>
        <w:rPr>
          <w:rFonts w:hint="eastAsia"/>
        </w:rPr>
        <w:t>各中央企业内控部门要深度参与信息化建设顶层设计，通过完善财务资金信息系统权责设置，落实对财务资金风险监督预警职责，有效发挥信息化管控的刚性约束和监督制衡作用。优化完善现有财务资金信息系统功能，将控制触发条件和控制标准、缺陷认定标准等内控要求嵌入信息系统，科学设置异常预警条件，强化资金全流程预警监控，促进资金管理活动可控制、可追溯、可检查，有效减少人为违规操控因素。尚未建立财务资金信息系统或未将相关内控要求嵌入信息系统的中央企业，要抓紧推进有关工作，并于</w:t>
      </w:r>
      <w:r>
        <w:rPr>
          <w:rFonts w:hint="eastAsia"/>
        </w:rPr>
        <w:t>2022</w:t>
      </w:r>
      <w:r>
        <w:rPr>
          <w:rFonts w:hint="eastAsia"/>
        </w:rPr>
        <w:t>年底前完成集团总部及所属二级子企业、三级及以下重要子企业财务资金信息系统内控功能建设或优化工作，实现对财务资金信息全面有效监控。加大新兴技术运用及风险防控，督促财务（资金）部门扩大中央企业银（财）企直</w:t>
      </w:r>
      <w:proofErr w:type="gramStart"/>
      <w:r>
        <w:rPr>
          <w:rFonts w:hint="eastAsia"/>
        </w:rPr>
        <w:t>连系</w:t>
      </w:r>
      <w:proofErr w:type="gramEnd"/>
      <w:r>
        <w:rPr>
          <w:rFonts w:hint="eastAsia"/>
        </w:rPr>
        <w:t>统覆盖范围，对因客户指定账户等特定原因不能实现银（财）</w:t>
      </w:r>
      <w:proofErr w:type="gramStart"/>
      <w:r>
        <w:rPr>
          <w:rFonts w:hint="eastAsia"/>
        </w:rPr>
        <w:t>企直连</w:t>
      </w:r>
      <w:proofErr w:type="gramEnd"/>
      <w:r>
        <w:rPr>
          <w:rFonts w:hint="eastAsia"/>
        </w:rPr>
        <w:t>的账户，研究制定替代内控措施和应急预案；定期抽查第三方支付账户监管、余额归集及对账管理情况，严控资金支付风险。</w:t>
      </w:r>
    </w:p>
    <w:p w14:paraId="544A63C5" w14:textId="77777777" w:rsidR="005679FA" w:rsidRDefault="005679FA" w:rsidP="009C42B6">
      <w:pPr>
        <w:pStyle w:val="AD"/>
        <w:spacing w:line="276" w:lineRule="auto"/>
      </w:pPr>
    </w:p>
    <w:p w14:paraId="44E26AA3" w14:textId="77777777" w:rsidR="005679FA" w:rsidRDefault="005679FA" w:rsidP="009C42B6">
      <w:pPr>
        <w:pStyle w:val="AD"/>
        <w:spacing w:line="276" w:lineRule="auto"/>
        <w:rPr>
          <w:rFonts w:hint="eastAsia"/>
        </w:rPr>
      </w:pPr>
      <w:r>
        <w:rPr>
          <w:rFonts w:hint="eastAsia"/>
        </w:rPr>
        <w:t>五、有效开展境外资金风险管控</w:t>
      </w:r>
    </w:p>
    <w:p w14:paraId="3D21C289" w14:textId="77777777" w:rsidR="005679FA" w:rsidRDefault="005679FA" w:rsidP="009C42B6">
      <w:pPr>
        <w:pStyle w:val="AD"/>
        <w:spacing w:line="276" w:lineRule="auto"/>
      </w:pPr>
    </w:p>
    <w:p w14:paraId="5330DB02" w14:textId="77777777" w:rsidR="005679FA" w:rsidRDefault="005679FA" w:rsidP="009C42B6">
      <w:pPr>
        <w:pStyle w:val="AD"/>
        <w:spacing w:line="276" w:lineRule="auto"/>
        <w:rPr>
          <w:rFonts w:hint="eastAsia"/>
        </w:rPr>
      </w:pPr>
      <w:r>
        <w:rPr>
          <w:rFonts w:hint="eastAsia"/>
        </w:rPr>
        <w:t>各中央企业内控部门要结合所属境外单位所在国家（地区）法律法规和本企业内控管理要求，建立健全境外资金内控监管体系。完善境外资金内控监管制度，明确境外大额资金审核支付、银行账户管理、财务主管人员委派、同一境外单位任职时限、资金关键岗位设置等方面要求，细化资金内控预警触发条件，促进境外资金合</w:t>
      </w:r>
      <w:proofErr w:type="gramStart"/>
      <w:r>
        <w:rPr>
          <w:rFonts w:hint="eastAsia"/>
        </w:rPr>
        <w:t>规</w:t>
      </w:r>
      <w:proofErr w:type="gramEnd"/>
      <w:r>
        <w:rPr>
          <w:rFonts w:hint="eastAsia"/>
        </w:rPr>
        <w:t>管理。加强境外资金风险防范，督促境外单位及时搜集所在国家（地区）政治、经济、社会、安全、舆情等国别风险信息，对发生外汇管制、汇率大幅波动、通货膨胀率快速攀升等情况，及时做好重大资金风险应急处置工作。加大对境外单位大额资金监督力度，对大额资金的决策程序、资金调度、资金收付渠道、资金支付联签及银行账户变动、境外项目佣金管理等情况建立备案跟踪内控机制，对出现异常情况的，及时采取应对措施，保障境外资金安全。</w:t>
      </w:r>
    </w:p>
    <w:p w14:paraId="144EC262" w14:textId="77777777" w:rsidR="005679FA" w:rsidRDefault="005679FA" w:rsidP="009C42B6">
      <w:pPr>
        <w:pStyle w:val="AD"/>
        <w:spacing w:line="276" w:lineRule="auto"/>
      </w:pPr>
    </w:p>
    <w:p w14:paraId="2C83D73C" w14:textId="77777777" w:rsidR="005679FA" w:rsidRDefault="005679FA" w:rsidP="009C42B6">
      <w:pPr>
        <w:pStyle w:val="AD"/>
        <w:spacing w:line="276" w:lineRule="auto"/>
        <w:rPr>
          <w:rFonts w:hint="eastAsia"/>
        </w:rPr>
      </w:pPr>
      <w:r>
        <w:rPr>
          <w:rFonts w:hint="eastAsia"/>
        </w:rPr>
        <w:t>六、认真做好资金内控体系监督评价工作</w:t>
      </w:r>
    </w:p>
    <w:p w14:paraId="58E4E406" w14:textId="77777777" w:rsidR="005679FA" w:rsidRDefault="005679FA" w:rsidP="009C42B6">
      <w:pPr>
        <w:pStyle w:val="AD"/>
        <w:spacing w:line="276" w:lineRule="auto"/>
      </w:pPr>
    </w:p>
    <w:p w14:paraId="600CA21B" w14:textId="77777777" w:rsidR="005679FA" w:rsidRDefault="005679FA" w:rsidP="009C42B6">
      <w:pPr>
        <w:pStyle w:val="AD"/>
        <w:spacing w:line="276" w:lineRule="auto"/>
        <w:rPr>
          <w:rFonts w:hint="eastAsia"/>
        </w:rPr>
      </w:pPr>
      <w:r>
        <w:rPr>
          <w:rFonts w:hint="eastAsia"/>
        </w:rPr>
        <w:t>中央企业内控工作要坚持</w:t>
      </w:r>
      <w:proofErr w:type="gramStart"/>
      <w:r>
        <w:rPr>
          <w:rFonts w:hint="eastAsia"/>
        </w:rPr>
        <w:t>以评促建</w:t>
      </w:r>
      <w:proofErr w:type="gramEnd"/>
      <w:r>
        <w:rPr>
          <w:rFonts w:hint="eastAsia"/>
        </w:rPr>
        <w:t>、以评促改，规范评价方法，提升评价质量，促进资金内控体系持续优化。每年对资金内控体系有效性开展全方位、全</w:t>
      </w:r>
      <w:proofErr w:type="gramStart"/>
      <w:r>
        <w:rPr>
          <w:rFonts w:hint="eastAsia"/>
        </w:rPr>
        <w:t>覆盖自</w:t>
      </w:r>
      <w:proofErr w:type="gramEnd"/>
      <w:r>
        <w:rPr>
          <w:rFonts w:hint="eastAsia"/>
        </w:rPr>
        <w:t>评工作，深入揭示风险问题，堵塞管理漏洞，建立风险管控长效机制。对新兴业务（开展三年内）、高风险业务以及风险事件频发领域至少每半年开展</w:t>
      </w:r>
      <w:r>
        <w:rPr>
          <w:rFonts w:hint="eastAsia"/>
        </w:rPr>
        <w:t>1</w:t>
      </w:r>
      <w:r>
        <w:rPr>
          <w:rFonts w:hint="eastAsia"/>
        </w:rPr>
        <w:t>次内控自评，评价重点包括资金管理制度建设、重要岗位权力制衡、</w:t>
      </w:r>
      <w:r>
        <w:rPr>
          <w:rFonts w:hint="eastAsia"/>
        </w:rPr>
        <w:lastRenderedPageBreak/>
        <w:t>大额资金拨付程序、</w:t>
      </w:r>
      <w:proofErr w:type="gramStart"/>
      <w:r>
        <w:rPr>
          <w:rFonts w:hint="eastAsia"/>
        </w:rPr>
        <w:t>网银</w:t>
      </w:r>
      <w:r>
        <w:rPr>
          <w:rFonts w:hint="eastAsia"/>
        </w:rPr>
        <w:t>U</w:t>
      </w:r>
      <w:r>
        <w:rPr>
          <w:rFonts w:hint="eastAsia"/>
        </w:rPr>
        <w:t>盾管理</w:t>
      </w:r>
      <w:proofErr w:type="gramEnd"/>
      <w:r>
        <w:rPr>
          <w:rFonts w:hint="eastAsia"/>
        </w:rPr>
        <w:t>等内容。有效推进“上对下”资金内控体系监督评价工作，将资金管理制度健全性、内控体系执行有效性、关键岗位制衡性、信息系统刚性约束等作为监督评价重要内容，查找内控缺陷和风险隐患，确保集团对全部子企业每三年至少评价</w:t>
      </w:r>
      <w:r>
        <w:rPr>
          <w:rFonts w:hint="eastAsia"/>
        </w:rPr>
        <w:t>1</w:t>
      </w:r>
      <w:r>
        <w:rPr>
          <w:rFonts w:hint="eastAsia"/>
        </w:rPr>
        <w:t>次。加大资金内控体系监督评价结果在干部管理、考核分配等工作中的运用力度，强化问题整改工作，明确整改责任部门、责任人和完成时限，加强整改工作跟踪检查力度，持续完善资金内控体系。对因资金内控缺失、未执行资金内控制度等造成资产损失的中央企业，严肃开展责任追究工作。</w:t>
      </w:r>
    </w:p>
    <w:p w14:paraId="5FB3BD2C" w14:textId="77777777" w:rsidR="005679FA" w:rsidRDefault="005679FA" w:rsidP="009C42B6">
      <w:pPr>
        <w:pStyle w:val="AD"/>
        <w:spacing w:line="276" w:lineRule="auto"/>
      </w:pPr>
    </w:p>
    <w:p w14:paraId="0D6D393F" w14:textId="77777777" w:rsidR="005679FA" w:rsidRDefault="005679FA" w:rsidP="009C42B6">
      <w:pPr>
        <w:pStyle w:val="AD"/>
        <w:spacing w:line="276" w:lineRule="auto"/>
        <w:rPr>
          <w:rFonts w:hint="eastAsia"/>
        </w:rPr>
      </w:pPr>
      <w:r>
        <w:rPr>
          <w:rFonts w:hint="eastAsia"/>
        </w:rPr>
        <w:t>各中央企业要认真落实本通知要求，结合实际，研究制定本企业资金内控监管制度，于</w:t>
      </w:r>
      <w:r>
        <w:rPr>
          <w:rFonts w:hint="eastAsia"/>
        </w:rPr>
        <w:t>2021</w:t>
      </w:r>
      <w:r>
        <w:rPr>
          <w:rFonts w:hint="eastAsia"/>
        </w:rPr>
        <w:t>年</w:t>
      </w:r>
      <w:r>
        <w:rPr>
          <w:rFonts w:hint="eastAsia"/>
        </w:rPr>
        <w:t>7</w:t>
      </w:r>
      <w:r>
        <w:rPr>
          <w:rFonts w:hint="eastAsia"/>
        </w:rPr>
        <w:t>月</w:t>
      </w:r>
      <w:r>
        <w:rPr>
          <w:rFonts w:hint="eastAsia"/>
        </w:rPr>
        <w:t>30</w:t>
      </w:r>
      <w:r>
        <w:rPr>
          <w:rFonts w:hint="eastAsia"/>
        </w:rPr>
        <w:t>日前报送国资委综合监督局。</w:t>
      </w:r>
    </w:p>
    <w:p w14:paraId="3239EDD2" w14:textId="77777777" w:rsidR="005679FA" w:rsidRDefault="005679FA" w:rsidP="009C42B6">
      <w:pPr>
        <w:pStyle w:val="AD"/>
        <w:spacing w:line="276" w:lineRule="auto"/>
      </w:pPr>
    </w:p>
    <w:p w14:paraId="73655326" w14:textId="77777777" w:rsidR="005679FA" w:rsidRDefault="005679FA" w:rsidP="009C42B6">
      <w:pPr>
        <w:pStyle w:val="AD"/>
        <w:spacing w:line="276" w:lineRule="auto"/>
        <w:rPr>
          <w:rFonts w:hint="eastAsia"/>
        </w:rPr>
      </w:pPr>
      <w:r>
        <w:rPr>
          <w:rFonts w:hint="eastAsia"/>
        </w:rPr>
        <w:t>各地方国资委可参照制定所监管企业资金内控管理相关制度规定。</w:t>
      </w:r>
    </w:p>
    <w:p w14:paraId="651F5CE6" w14:textId="77777777" w:rsidR="005679FA" w:rsidRDefault="005679FA" w:rsidP="009C42B6">
      <w:pPr>
        <w:pStyle w:val="AD"/>
        <w:spacing w:line="276" w:lineRule="auto"/>
      </w:pPr>
    </w:p>
    <w:p w14:paraId="34058489" w14:textId="66FF89A5" w:rsidR="005679FA" w:rsidRDefault="005679FA" w:rsidP="009C42B6">
      <w:pPr>
        <w:pStyle w:val="AD"/>
        <w:spacing w:line="276" w:lineRule="auto"/>
        <w:jc w:val="right"/>
      </w:pPr>
      <w:r>
        <w:rPr>
          <w:rFonts w:hint="eastAsia"/>
        </w:rPr>
        <w:t>国资委</w:t>
      </w:r>
    </w:p>
    <w:p w14:paraId="6A7FAE82" w14:textId="359BEBC9" w:rsidR="00B15193" w:rsidRDefault="005679FA" w:rsidP="009C42B6">
      <w:pPr>
        <w:pStyle w:val="AD"/>
        <w:spacing w:line="276" w:lineRule="auto"/>
        <w:jc w:val="right"/>
      </w:pPr>
      <w:r>
        <w:rPr>
          <w:rFonts w:hint="eastAsia"/>
        </w:rPr>
        <w:t>2021</w:t>
      </w:r>
      <w:r>
        <w:rPr>
          <w:rFonts w:hint="eastAsia"/>
        </w:rPr>
        <w:t>年</w:t>
      </w:r>
      <w:r>
        <w:rPr>
          <w:rFonts w:hint="eastAsia"/>
        </w:rPr>
        <w:t>3</w:t>
      </w:r>
      <w:r>
        <w:rPr>
          <w:rFonts w:hint="eastAsia"/>
        </w:rPr>
        <w:t>月</w:t>
      </w:r>
      <w:r>
        <w:rPr>
          <w:rFonts w:hint="eastAsia"/>
        </w:rPr>
        <w:t>2</w:t>
      </w:r>
      <w:r>
        <w:rPr>
          <w:rFonts w:hint="eastAsia"/>
        </w:rPr>
        <w:t>日</w:t>
      </w:r>
    </w:p>
    <w:p w14:paraId="39B145F4" w14:textId="60D56380" w:rsidR="005679FA" w:rsidRDefault="005679FA" w:rsidP="009C42B6">
      <w:pPr>
        <w:pStyle w:val="AD"/>
        <w:spacing w:line="276" w:lineRule="auto"/>
      </w:pPr>
    </w:p>
    <w:p w14:paraId="755718BD" w14:textId="295CF270" w:rsidR="005679FA" w:rsidRDefault="005679FA" w:rsidP="009C42B6">
      <w:pPr>
        <w:pStyle w:val="AD"/>
        <w:spacing w:line="276" w:lineRule="auto"/>
      </w:pPr>
    </w:p>
    <w:p w14:paraId="6DCD7C31" w14:textId="0FA24008" w:rsidR="005679FA" w:rsidRDefault="005679FA" w:rsidP="009C42B6">
      <w:pPr>
        <w:pStyle w:val="AD"/>
        <w:spacing w:line="276" w:lineRule="auto"/>
      </w:pPr>
      <w:r>
        <w:rPr>
          <w:rFonts w:hint="eastAsia"/>
        </w:rPr>
        <w:t>信息来源：</w:t>
      </w:r>
      <w:hyperlink r:id="rId6" w:history="1">
        <w:r w:rsidRPr="004E66BC">
          <w:rPr>
            <w:rStyle w:val="a9"/>
          </w:rPr>
          <w:t>http://www.sasac.gov.cn/n2588030/n2588959/c17713976/content.html</w:t>
        </w:r>
      </w:hyperlink>
    </w:p>
    <w:p w14:paraId="1FFB3C8F" w14:textId="77777777" w:rsidR="005679FA" w:rsidRPr="005679FA" w:rsidRDefault="005679FA" w:rsidP="009C42B6">
      <w:pPr>
        <w:pStyle w:val="AD"/>
        <w:spacing w:line="276" w:lineRule="auto"/>
        <w:rPr>
          <w:rFonts w:hint="eastAsia"/>
        </w:rPr>
      </w:pPr>
    </w:p>
    <w:sectPr w:rsidR="005679FA" w:rsidRPr="005679F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A82599" w14:textId="77777777" w:rsidR="00114400" w:rsidRDefault="00114400" w:rsidP="00C20A6A">
      <w:pPr>
        <w:spacing w:line="240" w:lineRule="auto"/>
      </w:pPr>
      <w:r>
        <w:separator/>
      </w:r>
    </w:p>
  </w:endnote>
  <w:endnote w:type="continuationSeparator" w:id="0">
    <w:p w14:paraId="4ACE03F5" w14:textId="77777777" w:rsidR="00114400" w:rsidRDefault="00114400"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F2926" w14:textId="77777777" w:rsidR="00114400" w:rsidRDefault="00114400" w:rsidP="00C20A6A">
      <w:pPr>
        <w:spacing w:line="240" w:lineRule="auto"/>
      </w:pPr>
      <w:r>
        <w:separator/>
      </w:r>
    </w:p>
  </w:footnote>
  <w:footnote w:type="continuationSeparator" w:id="0">
    <w:p w14:paraId="13DDE6DA" w14:textId="77777777" w:rsidR="00114400" w:rsidRDefault="00114400"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A65AB"/>
    <w:rsid w:val="000F4C6A"/>
    <w:rsid w:val="00114400"/>
    <w:rsid w:val="00176A25"/>
    <w:rsid w:val="001A65AB"/>
    <w:rsid w:val="001C4C6F"/>
    <w:rsid w:val="003D27E2"/>
    <w:rsid w:val="005679FA"/>
    <w:rsid w:val="005F7C76"/>
    <w:rsid w:val="007D7BDB"/>
    <w:rsid w:val="009C42B6"/>
    <w:rsid w:val="00A51B14"/>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FBD3F"/>
  <w15:chartTrackingRefBased/>
  <w15:docId w15:val="{77DD5D33-13AE-4726-9953-E466C19F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5679FA"/>
    <w:pPr>
      <w:ind w:leftChars="2500" w:left="100"/>
    </w:pPr>
  </w:style>
  <w:style w:type="character" w:customStyle="1" w:styleId="a8">
    <w:name w:val="日期 字符"/>
    <w:basedOn w:val="a0"/>
    <w:link w:val="a7"/>
    <w:uiPriority w:val="99"/>
    <w:semiHidden/>
    <w:rsid w:val="005679FA"/>
    <w:rPr>
      <w:rFonts w:ascii="Arial" w:eastAsia="宋体" w:hAnsi="Arial"/>
      <w:sz w:val="22"/>
    </w:rPr>
  </w:style>
  <w:style w:type="character" w:styleId="a9">
    <w:name w:val="Hyperlink"/>
    <w:basedOn w:val="a0"/>
    <w:uiPriority w:val="99"/>
    <w:unhideWhenUsed/>
    <w:rsid w:val="005679FA"/>
    <w:rPr>
      <w:color w:val="0000FF" w:themeColor="hyperlink"/>
      <w:u w:val="single"/>
    </w:rPr>
  </w:style>
  <w:style w:type="character" w:styleId="aa">
    <w:name w:val="Unresolved Mention"/>
    <w:basedOn w:val="a0"/>
    <w:uiPriority w:val="99"/>
    <w:semiHidden/>
    <w:unhideWhenUsed/>
    <w:rsid w:val="00567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sac.gov.cn/n2588030/n2588959/c17713976/content.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2021-03-25T12:39:00Z</dcterms:created>
  <dcterms:modified xsi:type="dcterms:W3CDTF">2021-03-25T12:40:00Z</dcterms:modified>
</cp:coreProperties>
</file>