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13C2B" w14:textId="77777777" w:rsidR="00200B0A" w:rsidRPr="00882A7B" w:rsidRDefault="00200B0A" w:rsidP="00882A7B">
      <w:pPr>
        <w:pStyle w:val="AD"/>
        <w:spacing w:line="276" w:lineRule="auto"/>
        <w:jc w:val="center"/>
        <w:rPr>
          <w:b/>
          <w:bCs/>
          <w:color w:val="E36C0A" w:themeColor="accent6" w:themeShade="BF"/>
          <w:sz w:val="32"/>
          <w:szCs w:val="32"/>
        </w:rPr>
      </w:pPr>
      <w:r w:rsidRPr="00882A7B">
        <w:rPr>
          <w:rFonts w:hint="eastAsia"/>
          <w:b/>
          <w:bCs/>
          <w:color w:val="E36C0A" w:themeColor="accent6" w:themeShade="BF"/>
          <w:sz w:val="32"/>
          <w:szCs w:val="32"/>
        </w:rPr>
        <w:t>关于进一步优化跨境人民币政策</w:t>
      </w:r>
      <w:r w:rsidRPr="00882A7B">
        <w:rPr>
          <w:rFonts w:hint="eastAsia"/>
          <w:b/>
          <w:bCs/>
          <w:color w:val="E36C0A" w:themeColor="accent6" w:themeShade="BF"/>
          <w:sz w:val="32"/>
          <w:szCs w:val="32"/>
        </w:rPr>
        <w:t xml:space="preserve"> </w:t>
      </w:r>
      <w:r w:rsidRPr="00882A7B">
        <w:rPr>
          <w:rFonts w:hint="eastAsia"/>
          <w:b/>
          <w:bCs/>
          <w:color w:val="E36C0A" w:themeColor="accent6" w:themeShade="BF"/>
          <w:sz w:val="32"/>
          <w:szCs w:val="32"/>
        </w:rPr>
        <w:t>支持稳外贸稳外资的通知</w:t>
      </w:r>
    </w:p>
    <w:p w14:paraId="4C1F04EC" w14:textId="77777777" w:rsidR="00200B0A" w:rsidRDefault="00200B0A" w:rsidP="00882A7B">
      <w:pPr>
        <w:pStyle w:val="AD"/>
        <w:spacing w:line="276" w:lineRule="auto"/>
        <w:jc w:val="center"/>
      </w:pPr>
      <w:r>
        <w:rPr>
          <w:rFonts w:hint="eastAsia"/>
        </w:rPr>
        <w:t>银发〔</w:t>
      </w:r>
      <w:r>
        <w:rPr>
          <w:rFonts w:hint="eastAsia"/>
        </w:rPr>
        <w:t>2020</w:t>
      </w:r>
      <w:r>
        <w:rPr>
          <w:rFonts w:hint="eastAsia"/>
        </w:rPr>
        <w:t>〕</w:t>
      </w:r>
      <w:r>
        <w:rPr>
          <w:rFonts w:hint="eastAsia"/>
        </w:rPr>
        <w:t>330</w:t>
      </w:r>
      <w:r>
        <w:rPr>
          <w:rFonts w:hint="eastAsia"/>
        </w:rPr>
        <w:t>号</w:t>
      </w:r>
    </w:p>
    <w:p w14:paraId="5D0CB982" w14:textId="77777777" w:rsidR="00200B0A" w:rsidRDefault="00200B0A" w:rsidP="00882A7B">
      <w:pPr>
        <w:pStyle w:val="AD"/>
        <w:spacing w:line="276" w:lineRule="auto"/>
      </w:pPr>
    </w:p>
    <w:p w14:paraId="4C35A005" w14:textId="77777777" w:rsidR="00200B0A" w:rsidRDefault="00200B0A" w:rsidP="00882A7B">
      <w:pPr>
        <w:pStyle w:val="AD"/>
        <w:spacing w:line="276" w:lineRule="auto"/>
      </w:pPr>
      <w:r>
        <w:rPr>
          <w:rFonts w:hint="eastAsia"/>
        </w:rPr>
        <w:t>为贯彻落实党中央、国务院关于扎实做好“六稳”工作、全面落实“六保”任务的决策部署，推动形成以国内大循环为主体、国内国际双循环相互促进的新发展格局，进一步发挥跨境人民币业务服务实体经济、促进贸易投资便利化的作用，现就有关事项通知如下：</w:t>
      </w:r>
    </w:p>
    <w:p w14:paraId="4048B9F5" w14:textId="77777777" w:rsidR="00200B0A" w:rsidRDefault="00200B0A" w:rsidP="00882A7B">
      <w:pPr>
        <w:pStyle w:val="AD"/>
        <w:spacing w:line="276" w:lineRule="auto"/>
      </w:pPr>
    </w:p>
    <w:p w14:paraId="4112B330" w14:textId="77777777" w:rsidR="00200B0A" w:rsidRDefault="00200B0A" w:rsidP="00882A7B">
      <w:pPr>
        <w:pStyle w:val="AD"/>
        <w:spacing w:line="276" w:lineRule="auto"/>
      </w:pPr>
      <w:r>
        <w:rPr>
          <w:rFonts w:hint="eastAsia"/>
        </w:rPr>
        <w:t>一、紧紧围绕实体经济需求，推动更高水平贸易投资人民币结算便利化</w:t>
      </w:r>
    </w:p>
    <w:p w14:paraId="05710159" w14:textId="77777777" w:rsidR="00200B0A" w:rsidRDefault="00200B0A" w:rsidP="00882A7B">
      <w:pPr>
        <w:pStyle w:val="AD"/>
        <w:spacing w:line="276" w:lineRule="auto"/>
      </w:pPr>
    </w:p>
    <w:p w14:paraId="5B4D5CB1" w14:textId="77777777" w:rsidR="00200B0A" w:rsidRDefault="00200B0A" w:rsidP="00882A7B">
      <w:pPr>
        <w:pStyle w:val="AD"/>
        <w:spacing w:line="276" w:lineRule="auto"/>
      </w:pPr>
      <w:r>
        <w:rPr>
          <w:rFonts w:hint="eastAsia"/>
        </w:rPr>
        <w:t>（一）在全国范围内开展更高水平贸易投资便利化试点。境内银行可在“展业三原则”的基础上，凭优质企业提交的《跨境人民币结算收</w:t>
      </w:r>
      <w:r>
        <w:rPr>
          <w:rFonts w:hint="eastAsia"/>
        </w:rPr>
        <w:t>/</w:t>
      </w:r>
      <w:r>
        <w:rPr>
          <w:rFonts w:hint="eastAsia"/>
        </w:rPr>
        <w:t>付款说明》或收付款指令，直接为优质企业办理货物贸易、服务贸易跨境人民币结算，以及资本项目人民币收入（包括外商直接投资资本金、跨境融资及境外上市募集资金调回等）在境内的依法合规使用。</w:t>
      </w:r>
    </w:p>
    <w:p w14:paraId="41E9D655" w14:textId="77777777" w:rsidR="00200B0A" w:rsidRDefault="00200B0A" w:rsidP="00882A7B">
      <w:pPr>
        <w:pStyle w:val="AD"/>
        <w:spacing w:line="276" w:lineRule="auto"/>
      </w:pPr>
    </w:p>
    <w:p w14:paraId="42D04129" w14:textId="77777777" w:rsidR="00200B0A" w:rsidRDefault="00200B0A" w:rsidP="00882A7B">
      <w:pPr>
        <w:pStyle w:val="AD"/>
        <w:spacing w:line="276" w:lineRule="auto"/>
      </w:pPr>
      <w:r>
        <w:rPr>
          <w:rFonts w:hint="eastAsia"/>
        </w:rPr>
        <w:t>境内银行开展更高水平贸易投资便利化试点，应通过省级跨境人民币业务自律机制制定具体实施方案，明确优质企业的认定标准和动态调整机制等风险防控措施，并将具体实施方案向所在地人民银行副省级城市中心支行以上分支机构报备后实施。</w:t>
      </w:r>
    </w:p>
    <w:p w14:paraId="4A60AA45" w14:textId="77777777" w:rsidR="00200B0A" w:rsidRDefault="00200B0A" w:rsidP="00882A7B">
      <w:pPr>
        <w:pStyle w:val="AD"/>
        <w:spacing w:line="276" w:lineRule="auto"/>
      </w:pPr>
    </w:p>
    <w:p w14:paraId="7970F3E0" w14:textId="77777777" w:rsidR="00200B0A" w:rsidRDefault="00200B0A" w:rsidP="00882A7B">
      <w:pPr>
        <w:pStyle w:val="AD"/>
        <w:spacing w:line="276" w:lineRule="auto"/>
      </w:pPr>
      <w:r>
        <w:rPr>
          <w:rFonts w:hint="eastAsia"/>
        </w:rPr>
        <w:t>（二）支持贸易新业态跨境人民币结算。境内银行在满足交易信息采集、真实性审核的条件下，可按相关规定凭交易电子信息为跨境电子商务等贸易新业态相关市场主体提供经常项目下跨境人民币结算服务。支持境内银行与合法转接清算机构、非银行支付机构在依法合规的前提下合作为跨境电子商务、市场采购贸易方式、外贸综合服务等贸易新业态相关市场主体提供跨境人民币收付服务。</w:t>
      </w:r>
    </w:p>
    <w:p w14:paraId="7D48DE45" w14:textId="77777777" w:rsidR="00200B0A" w:rsidRDefault="00200B0A" w:rsidP="00882A7B">
      <w:pPr>
        <w:pStyle w:val="AD"/>
        <w:spacing w:line="276" w:lineRule="auto"/>
      </w:pPr>
    </w:p>
    <w:p w14:paraId="6F83EDAE" w14:textId="77777777" w:rsidR="00200B0A" w:rsidRDefault="00200B0A" w:rsidP="00882A7B">
      <w:pPr>
        <w:pStyle w:val="AD"/>
        <w:spacing w:line="276" w:lineRule="auto"/>
      </w:pPr>
      <w:r>
        <w:rPr>
          <w:rFonts w:hint="eastAsia"/>
        </w:rPr>
        <w:t>（三）根据商事制度改革，及时调整对业务办理及审核的要求。企业办理外商直接投资人民币结算相关业务时，无需提供商务主管部门出具的批准或备案文件。银行可将企业营业执照、市场监督管理等部门系统披露的商事主体登记及备案信息等，作为业务审核、账户开立、企业信息登记依据。企业办理来料加工贸易项目下跨境人民币结算业务时，无需向其境内结算银行提交所在地商务主管部门出具的加工贸易业务批准证。如后续有新的政策变化，应及时对所涉业务资料审核要求、审核流程等内部业务制度进行调整，按新的内部业务制度进行展业。</w:t>
      </w:r>
    </w:p>
    <w:p w14:paraId="33422CB7" w14:textId="77777777" w:rsidR="00200B0A" w:rsidRDefault="00200B0A" w:rsidP="00882A7B">
      <w:pPr>
        <w:pStyle w:val="AD"/>
        <w:spacing w:line="276" w:lineRule="auto"/>
      </w:pPr>
    </w:p>
    <w:p w14:paraId="0CBA2FBE" w14:textId="77777777" w:rsidR="00200B0A" w:rsidRDefault="00200B0A" w:rsidP="00882A7B">
      <w:pPr>
        <w:pStyle w:val="AD"/>
        <w:spacing w:line="276" w:lineRule="auto"/>
      </w:pPr>
      <w:r>
        <w:rPr>
          <w:rFonts w:hint="eastAsia"/>
        </w:rPr>
        <w:t>二、进一步简化跨境人民币结算流程</w:t>
      </w:r>
    </w:p>
    <w:p w14:paraId="5DC63588" w14:textId="77777777" w:rsidR="00200B0A" w:rsidRDefault="00200B0A" w:rsidP="00882A7B">
      <w:pPr>
        <w:pStyle w:val="AD"/>
        <w:spacing w:line="276" w:lineRule="auto"/>
      </w:pPr>
    </w:p>
    <w:p w14:paraId="18009460" w14:textId="77777777" w:rsidR="00200B0A" w:rsidRDefault="00200B0A" w:rsidP="00882A7B">
      <w:pPr>
        <w:pStyle w:val="AD"/>
        <w:spacing w:line="276" w:lineRule="auto"/>
      </w:pPr>
      <w:r>
        <w:rPr>
          <w:rFonts w:hint="eastAsia"/>
        </w:rPr>
        <w:t>（四）优化跨境人民币业务重点监管名单形成机制。将“出口货物贸易人民币结算企业重点监管名单”调整为“跨境人民币业务重点监管名单”，由人民银行会同相关部门更新名单认定标准，完善名单形成制度和流程，支持外贸企业发展。</w:t>
      </w:r>
    </w:p>
    <w:p w14:paraId="6948E4EA" w14:textId="77777777" w:rsidR="00200B0A" w:rsidRDefault="00200B0A" w:rsidP="00882A7B">
      <w:pPr>
        <w:pStyle w:val="AD"/>
        <w:spacing w:line="276" w:lineRule="auto"/>
      </w:pPr>
    </w:p>
    <w:p w14:paraId="2C82CE22" w14:textId="77777777" w:rsidR="00200B0A" w:rsidRDefault="00200B0A" w:rsidP="00882A7B">
      <w:pPr>
        <w:pStyle w:val="AD"/>
        <w:spacing w:line="276" w:lineRule="auto"/>
      </w:pPr>
      <w:r>
        <w:rPr>
          <w:rFonts w:hint="eastAsia"/>
        </w:rPr>
        <w:t>（五）支持单证电子化审核。境内银行可使用企业提交的纸质形式或电子形式的收付款指令代替《跨境人民币结算收</w:t>
      </w:r>
      <w:r>
        <w:rPr>
          <w:rFonts w:hint="eastAsia"/>
        </w:rPr>
        <w:t>/</w:t>
      </w:r>
      <w:r>
        <w:rPr>
          <w:rFonts w:hint="eastAsia"/>
        </w:rPr>
        <w:t>付款说明》，企业提交的收付款指令应满足国际收支申报和跨境人民币</w:t>
      </w:r>
      <w:r>
        <w:rPr>
          <w:rFonts w:hint="eastAsia"/>
        </w:rPr>
        <w:lastRenderedPageBreak/>
        <w:t>业务信息报送要求。</w:t>
      </w:r>
    </w:p>
    <w:p w14:paraId="312AC21F" w14:textId="77777777" w:rsidR="00200B0A" w:rsidRDefault="00200B0A" w:rsidP="00882A7B">
      <w:pPr>
        <w:pStyle w:val="AD"/>
        <w:spacing w:line="276" w:lineRule="auto"/>
      </w:pPr>
    </w:p>
    <w:p w14:paraId="5065FBF3" w14:textId="77777777" w:rsidR="00200B0A" w:rsidRDefault="00200B0A" w:rsidP="00882A7B">
      <w:pPr>
        <w:pStyle w:val="AD"/>
        <w:spacing w:line="276" w:lineRule="auto"/>
      </w:pPr>
      <w:r>
        <w:rPr>
          <w:rFonts w:hint="eastAsia"/>
        </w:rPr>
        <w:t>境内银行可通过审核企业提交的具有法律效力的电子单证或电子信息为企业办理经常项目下跨境人民币结算业务。银行应确保电子单证或电子信息的真实性、合规性以及使用的唯一性，并在</w:t>
      </w:r>
      <w:r>
        <w:rPr>
          <w:rFonts w:hint="eastAsia"/>
        </w:rPr>
        <w:t>5</w:t>
      </w:r>
      <w:r>
        <w:rPr>
          <w:rFonts w:hint="eastAsia"/>
        </w:rPr>
        <w:t>年内留存电子单证或电子信息备查。</w:t>
      </w:r>
    </w:p>
    <w:p w14:paraId="737F6733" w14:textId="77777777" w:rsidR="00200B0A" w:rsidRDefault="00200B0A" w:rsidP="00882A7B">
      <w:pPr>
        <w:pStyle w:val="AD"/>
        <w:spacing w:line="276" w:lineRule="auto"/>
      </w:pPr>
    </w:p>
    <w:p w14:paraId="79A70C21" w14:textId="77777777" w:rsidR="00200B0A" w:rsidRDefault="00200B0A" w:rsidP="00882A7B">
      <w:pPr>
        <w:pStyle w:val="AD"/>
        <w:spacing w:line="276" w:lineRule="auto"/>
      </w:pPr>
      <w:r>
        <w:rPr>
          <w:rFonts w:hint="eastAsia"/>
        </w:rPr>
        <w:t>（六）优化跨国企业集团经常项目下跨境人民币集中收付安排。跨国企业集团指定作为主办企业的境内成员企业，可根据实际需要在异地开立人民币银行结算账户，办理经常项目下跨境人民币集中收付业务。</w:t>
      </w:r>
    </w:p>
    <w:p w14:paraId="188950E4" w14:textId="77777777" w:rsidR="00200B0A" w:rsidRDefault="00200B0A" w:rsidP="00882A7B">
      <w:pPr>
        <w:pStyle w:val="AD"/>
        <w:spacing w:line="276" w:lineRule="auto"/>
      </w:pPr>
    </w:p>
    <w:p w14:paraId="66F0FAE4" w14:textId="77777777" w:rsidR="00200B0A" w:rsidRDefault="00200B0A" w:rsidP="00882A7B">
      <w:pPr>
        <w:pStyle w:val="AD"/>
        <w:spacing w:line="276" w:lineRule="auto"/>
      </w:pPr>
      <w:r>
        <w:rPr>
          <w:rFonts w:hint="eastAsia"/>
        </w:rPr>
        <w:t>（七）在全国范围内开展对外承包工程类优质企业跨境人民币结算业务便利化试点。支持银行境内外联动，在“展业三原则”基础上，为对外承包工程类优质企业的货物贸易、服务贸易及境外资金集中管理等业务提供便利化的跨境人民币金融服务，支持对外承包工程类优质企业为确保项目实施而需支付款项的汇出。境内银行开展试点业务，应通过省级跨境人民币业务自律机制明确优质企业的认定标准并制定具体实施方案。</w:t>
      </w:r>
    </w:p>
    <w:p w14:paraId="45D5E248" w14:textId="77777777" w:rsidR="00200B0A" w:rsidRDefault="00200B0A" w:rsidP="00882A7B">
      <w:pPr>
        <w:pStyle w:val="AD"/>
        <w:spacing w:line="276" w:lineRule="auto"/>
      </w:pPr>
    </w:p>
    <w:p w14:paraId="3956BBC0" w14:textId="77777777" w:rsidR="00200B0A" w:rsidRDefault="00200B0A" w:rsidP="00882A7B">
      <w:pPr>
        <w:pStyle w:val="AD"/>
        <w:spacing w:line="276" w:lineRule="auto"/>
      </w:pPr>
      <w:r>
        <w:rPr>
          <w:rFonts w:hint="eastAsia"/>
        </w:rPr>
        <w:t>三、进一步优化跨境人民币投融资管理</w:t>
      </w:r>
    </w:p>
    <w:p w14:paraId="4F6D7530" w14:textId="77777777" w:rsidR="00200B0A" w:rsidRDefault="00200B0A" w:rsidP="00882A7B">
      <w:pPr>
        <w:pStyle w:val="AD"/>
        <w:spacing w:line="276" w:lineRule="auto"/>
      </w:pPr>
    </w:p>
    <w:p w14:paraId="3535945F" w14:textId="77777777" w:rsidR="00200B0A" w:rsidRDefault="00200B0A" w:rsidP="00882A7B">
      <w:pPr>
        <w:pStyle w:val="AD"/>
        <w:spacing w:line="276" w:lineRule="auto"/>
      </w:pPr>
      <w:r>
        <w:rPr>
          <w:rFonts w:hint="eastAsia"/>
        </w:rPr>
        <w:t>（八）放宽对部分资本项目人民币收入使用限制。境内机构资本项目人民币收入（包括外商直接投资资本金、跨境融资及境外上市募集资金调回）在符合下列规定的情形下，在国家有关部门批准的经营范围内使用：不得直接或间接用于企业经营范围之外或国家法律法规禁止的支出；除另有明确规定外，不得直接或间接用于证券投资；除经营范围中有明确许可的情形外，不得用于向非关联企业发放贷款；不得用于建设、购买非自用房地产（房地产企业除外）。</w:t>
      </w:r>
    </w:p>
    <w:p w14:paraId="6389C37F" w14:textId="77777777" w:rsidR="00200B0A" w:rsidRDefault="00200B0A" w:rsidP="00882A7B">
      <w:pPr>
        <w:pStyle w:val="AD"/>
        <w:spacing w:line="276" w:lineRule="auto"/>
      </w:pPr>
    </w:p>
    <w:p w14:paraId="371DC7D0" w14:textId="77777777" w:rsidR="00200B0A" w:rsidRDefault="00200B0A" w:rsidP="00882A7B">
      <w:pPr>
        <w:pStyle w:val="AD"/>
        <w:spacing w:line="276" w:lineRule="auto"/>
      </w:pPr>
      <w:r>
        <w:rPr>
          <w:rFonts w:hint="eastAsia"/>
        </w:rPr>
        <w:t>（九）便利外商投资企业境内再投资。非投资性外商投资企业在符合现行规定且境内所投资项目真实、合规的前提下，可以依法以人民币资本金进行境内再投资。外商投资企业使用资本项目人民币收入开展境内再投资，被投资企业无需开立人民币资本金专用存款账户，资金使用须遵守本通知第八项的规定。</w:t>
      </w:r>
    </w:p>
    <w:p w14:paraId="0C8746E4" w14:textId="77777777" w:rsidR="00200B0A" w:rsidRDefault="00200B0A" w:rsidP="00882A7B">
      <w:pPr>
        <w:pStyle w:val="AD"/>
        <w:spacing w:line="276" w:lineRule="auto"/>
      </w:pPr>
    </w:p>
    <w:p w14:paraId="3CB74184" w14:textId="77777777" w:rsidR="00200B0A" w:rsidRDefault="00200B0A" w:rsidP="00882A7B">
      <w:pPr>
        <w:pStyle w:val="AD"/>
        <w:spacing w:line="276" w:lineRule="auto"/>
      </w:pPr>
      <w:r>
        <w:rPr>
          <w:rFonts w:hint="eastAsia"/>
        </w:rPr>
        <w:t>（十）取消对外商直接投资业务相关专户管理要求。境外投资者将境内人民币利润所得用于境内再投资，可将人民币资金从利润分配企业的账户直接划转至被投资企业或股权转让方的账户，无需开立人民币再投资专用存款账户；被投资企业无需开立人民币资本金专用存款账户，资金使用须遵守本通知第八项的规定。</w:t>
      </w:r>
    </w:p>
    <w:p w14:paraId="5D5930A1" w14:textId="77777777" w:rsidR="00200B0A" w:rsidRDefault="00200B0A" w:rsidP="00882A7B">
      <w:pPr>
        <w:pStyle w:val="AD"/>
        <w:spacing w:line="276" w:lineRule="auto"/>
      </w:pPr>
    </w:p>
    <w:p w14:paraId="41AB7BDC" w14:textId="77777777" w:rsidR="00200B0A" w:rsidRDefault="00200B0A" w:rsidP="00882A7B">
      <w:pPr>
        <w:pStyle w:val="AD"/>
        <w:spacing w:line="276" w:lineRule="auto"/>
      </w:pPr>
      <w:r>
        <w:rPr>
          <w:rFonts w:hint="eastAsia"/>
        </w:rPr>
        <w:t>境外投资者以人民币并购境内企业设立外商投资企业或以人民币向境内外商投资企业的中方股东支付股权转让对价款的，相关各中方股东无需开立人民币并购专用存款账户或人民币股权转让专用存款账户。</w:t>
      </w:r>
    </w:p>
    <w:p w14:paraId="6ABB8BEC" w14:textId="77777777" w:rsidR="00200B0A" w:rsidRDefault="00200B0A" w:rsidP="00882A7B">
      <w:pPr>
        <w:pStyle w:val="AD"/>
        <w:spacing w:line="276" w:lineRule="auto"/>
      </w:pPr>
    </w:p>
    <w:p w14:paraId="37F3D73E" w14:textId="77777777" w:rsidR="00200B0A" w:rsidRDefault="00200B0A" w:rsidP="00882A7B">
      <w:pPr>
        <w:pStyle w:val="AD"/>
        <w:spacing w:line="276" w:lineRule="auto"/>
      </w:pPr>
      <w:r>
        <w:rPr>
          <w:rFonts w:hint="eastAsia"/>
        </w:rPr>
        <w:t>（十一）优化对境内企业境外人民币借款业务的管理。境内企业可根据实际需要就一笔境外人</w:t>
      </w:r>
      <w:r>
        <w:rPr>
          <w:rFonts w:hint="eastAsia"/>
        </w:rPr>
        <w:lastRenderedPageBreak/>
        <w:t>民币借款开立多个人民币专用存款账户，也可就多笔境外人民币借款使用同一个人民币专用存款账户办理资金收付。境外借款人民币专用存款账户原则上应当在借款企业注册地的银行开立，对确有实际需要的，借款企业可在异地开立人民币专用存款账户。借款结算行以外的银行在确保真实性的前提下，可为企业办理境外人民币借款还本付息。企业和金融机构境外人民币借款提款币种和偿还币种须保持一致，签约币种根据实际需要可与提款币种和偿还币种不一致。</w:t>
      </w:r>
    </w:p>
    <w:p w14:paraId="20953EB1" w14:textId="77777777" w:rsidR="00200B0A" w:rsidRDefault="00200B0A" w:rsidP="00882A7B">
      <w:pPr>
        <w:pStyle w:val="AD"/>
        <w:spacing w:line="276" w:lineRule="auto"/>
      </w:pPr>
    </w:p>
    <w:p w14:paraId="1892C5A0" w14:textId="77777777" w:rsidR="00200B0A" w:rsidRDefault="00200B0A" w:rsidP="00882A7B">
      <w:pPr>
        <w:pStyle w:val="AD"/>
        <w:spacing w:line="276" w:lineRule="auto"/>
      </w:pPr>
      <w:r>
        <w:rPr>
          <w:rFonts w:hint="eastAsia"/>
        </w:rPr>
        <w:t>（十二）简化对境内企业人民币境外放款业务的管理。境内企业人民币境外放款提前还款额不再计入企业境外放款余额，币种转换因子调整为</w:t>
      </w:r>
      <w:r>
        <w:rPr>
          <w:rFonts w:hint="eastAsia"/>
        </w:rPr>
        <w:t>0.5</w:t>
      </w:r>
      <w:r>
        <w:rPr>
          <w:rFonts w:hint="eastAsia"/>
        </w:rPr>
        <w:t>。调整后的企业境外放款余额计算公式为：企业境外放款余额＝∑本外币境外放款余额＋∑外币境外放款余额×币种转换因子。</w:t>
      </w:r>
    </w:p>
    <w:p w14:paraId="51B43CE0" w14:textId="77777777" w:rsidR="00200B0A" w:rsidRDefault="00200B0A" w:rsidP="00882A7B">
      <w:pPr>
        <w:pStyle w:val="AD"/>
        <w:spacing w:line="276" w:lineRule="auto"/>
      </w:pPr>
    </w:p>
    <w:p w14:paraId="0A904E98" w14:textId="77777777" w:rsidR="00200B0A" w:rsidRDefault="00200B0A" w:rsidP="00882A7B">
      <w:pPr>
        <w:pStyle w:val="AD"/>
        <w:spacing w:line="276" w:lineRule="auto"/>
      </w:pPr>
      <w:r>
        <w:rPr>
          <w:rFonts w:hint="eastAsia"/>
        </w:rPr>
        <w:t>企业将人民币境外放款转为股权投资的，银行须在审核境外直接投资主管部门的核准或备案文件等相关材料后，在人民币跨境收付信息管理系统（</w:t>
      </w:r>
      <w:r>
        <w:rPr>
          <w:rFonts w:hint="eastAsia"/>
        </w:rPr>
        <w:t>RCPMIS</w:t>
      </w:r>
      <w:r>
        <w:rPr>
          <w:rFonts w:hint="eastAsia"/>
        </w:rPr>
        <w:t>）进行相应信息变更及登记。</w:t>
      </w:r>
    </w:p>
    <w:p w14:paraId="5D23E24D" w14:textId="77777777" w:rsidR="00200B0A" w:rsidRDefault="00200B0A" w:rsidP="00882A7B">
      <w:pPr>
        <w:pStyle w:val="AD"/>
        <w:spacing w:line="276" w:lineRule="auto"/>
      </w:pPr>
    </w:p>
    <w:p w14:paraId="44AD8FF2" w14:textId="77777777" w:rsidR="00200B0A" w:rsidRDefault="00200B0A" w:rsidP="00882A7B">
      <w:pPr>
        <w:pStyle w:val="AD"/>
        <w:spacing w:line="276" w:lineRule="auto"/>
      </w:pPr>
      <w:r>
        <w:rPr>
          <w:rFonts w:hint="eastAsia"/>
        </w:rPr>
        <w:t>四、便利个人经常项目下跨境人民币收付</w:t>
      </w:r>
    </w:p>
    <w:p w14:paraId="517806F0" w14:textId="77777777" w:rsidR="00200B0A" w:rsidRDefault="00200B0A" w:rsidP="00882A7B">
      <w:pPr>
        <w:pStyle w:val="AD"/>
        <w:spacing w:line="276" w:lineRule="auto"/>
      </w:pPr>
    </w:p>
    <w:p w14:paraId="04AEFEBB" w14:textId="77777777" w:rsidR="00200B0A" w:rsidRDefault="00200B0A" w:rsidP="00882A7B">
      <w:pPr>
        <w:pStyle w:val="AD"/>
        <w:spacing w:line="276" w:lineRule="auto"/>
      </w:pPr>
      <w:r>
        <w:rPr>
          <w:rFonts w:hint="eastAsia"/>
        </w:rPr>
        <w:t>（十三）支持个人经常项目下跨境人民币结算业务开展。支持境内银行在“展业三原则”的基础上，为个人办理经常项目下跨境人民币结算业务，进一步便利个人薪酬等合法合规收入的跨境收付业务。</w:t>
      </w:r>
    </w:p>
    <w:p w14:paraId="486F01BB" w14:textId="77777777" w:rsidR="00200B0A" w:rsidRDefault="00200B0A" w:rsidP="00882A7B">
      <w:pPr>
        <w:pStyle w:val="AD"/>
        <w:spacing w:line="276" w:lineRule="auto"/>
      </w:pPr>
    </w:p>
    <w:p w14:paraId="65A24CCE" w14:textId="77777777" w:rsidR="00200B0A" w:rsidRDefault="00200B0A" w:rsidP="00882A7B">
      <w:pPr>
        <w:pStyle w:val="AD"/>
        <w:spacing w:line="276" w:lineRule="auto"/>
      </w:pPr>
      <w:r>
        <w:rPr>
          <w:rFonts w:hint="eastAsia"/>
        </w:rPr>
        <w:t>（十四）便利个人人民币银行结算账户接收港澳同名汇款。境内银行可为香港、澳门居民开立个人人民币银行结算账户，用于接收香港、澳门居民每人每日</w:t>
      </w:r>
      <w:r>
        <w:rPr>
          <w:rFonts w:hint="eastAsia"/>
        </w:rPr>
        <w:t>8</w:t>
      </w:r>
      <w:r>
        <w:rPr>
          <w:rFonts w:hint="eastAsia"/>
        </w:rPr>
        <w:t>万元额度内的同名账户汇入资金，境内银行应确保汇入及汇出资金使用符合现行规定，其中汇入资金仅可用于境内消费性支出，不得购买有价证券、金融衍生品、资产管理产品等金融产品。</w:t>
      </w:r>
      <w:r>
        <w:rPr>
          <w:rFonts w:hint="eastAsia"/>
        </w:rPr>
        <w:t xml:space="preserve"> </w:t>
      </w:r>
    </w:p>
    <w:p w14:paraId="1E696DEE" w14:textId="77777777" w:rsidR="00200B0A" w:rsidRDefault="00200B0A" w:rsidP="00882A7B">
      <w:pPr>
        <w:pStyle w:val="AD"/>
        <w:spacing w:line="276" w:lineRule="auto"/>
      </w:pPr>
    </w:p>
    <w:p w14:paraId="4DAAF6F0" w14:textId="77777777" w:rsidR="00200B0A" w:rsidRDefault="00200B0A" w:rsidP="00882A7B">
      <w:pPr>
        <w:pStyle w:val="AD"/>
        <w:spacing w:line="276" w:lineRule="auto"/>
      </w:pPr>
      <w:r>
        <w:rPr>
          <w:rFonts w:hint="eastAsia"/>
        </w:rPr>
        <w:t>五、便利境外机构人民币银行结算账户使用</w:t>
      </w:r>
    </w:p>
    <w:p w14:paraId="32D026DC" w14:textId="77777777" w:rsidR="00200B0A" w:rsidRDefault="00200B0A" w:rsidP="00882A7B">
      <w:pPr>
        <w:pStyle w:val="AD"/>
        <w:spacing w:line="276" w:lineRule="auto"/>
      </w:pPr>
    </w:p>
    <w:p w14:paraId="766F9F4F" w14:textId="77777777" w:rsidR="00200B0A" w:rsidRDefault="00200B0A" w:rsidP="00882A7B">
      <w:pPr>
        <w:pStyle w:val="AD"/>
        <w:spacing w:line="276" w:lineRule="auto"/>
      </w:pPr>
      <w:r>
        <w:rPr>
          <w:rFonts w:hint="eastAsia"/>
        </w:rPr>
        <w:t>（十五）便利境外机构人民币银行结算账户接收境外资金。扩大境外机构人民币银行结算账户的收入范围，可接收从境外同名账户汇入的人民币资金。除另有规定外，从境外汇入的人民币资金不得购汇。</w:t>
      </w:r>
    </w:p>
    <w:p w14:paraId="333F8E4A" w14:textId="77777777" w:rsidR="00200B0A" w:rsidRDefault="00200B0A" w:rsidP="00882A7B">
      <w:pPr>
        <w:pStyle w:val="AD"/>
        <w:spacing w:line="276" w:lineRule="auto"/>
      </w:pPr>
    </w:p>
    <w:p w14:paraId="284278A3" w14:textId="77777777" w:rsidR="00200B0A" w:rsidRDefault="00200B0A" w:rsidP="00882A7B">
      <w:pPr>
        <w:pStyle w:val="AD"/>
        <w:spacing w:line="276" w:lineRule="auto"/>
      </w:pPr>
      <w:r>
        <w:rPr>
          <w:rFonts w:hint="eastAsia"/>
        </w:rPr>
        <w:t>境内银行应不断丰富人民币金融产品，为市场主体在对外经贸活动和国际合作领域中使用人民币提供高效便捷的金融服务，同时按照《中华人民共和国反洗钱法》和其他有关规定，在办理跨境人民币业务时，应切实履行反洗钱、反恐怖融资、反逃税义务。境内银行未按规定办理跨境人民币业务的，中国人民银行及其分支机构可根据《中华人民共和国中国人民银行法》第三十二条、第四十六条相关规定依法对境内银行进行处罚。</w:t>
      </w:r>
    </w:p>
    <w:p w14:paraId="191AD132" w14:textId="77777777" w:rsidR="00200B0A" w:rsidRDefault="00200B0A" w:rsidP="00882A7B">
      <w:pPr>
        <w:pStyle w:val="AD"/>
        <w:spacing w:line="276" w:lineRule="auto"/>
      </w:pPr>
    </w:p>
    <w:p w14:paraId="34D825AF" w14:textId="77777777" w:rsidR="00200B0A" w:rsidRDefault="00200B0A" w:rsidP="00882A7B">
      <w:pPr>
        <w:pStyle w:val="AD"/>
        <w:spacing w:line="276" w:lineRule="auto"/>
      </w:pPr>
      <w:r>
        <w:rPr>
          <w:rFonts w:hint="eastAsia"/>
        </w:rPr>
        <w:t>本通知自</w:t>
      </w:r>
      <w:r>
        <w:rPr>
          <w:rFonts w:hint="eastAsia"/>
        </w:rPr>
        <w:t>2021</w:t>
      </w:r>
      <w:r>
        <w:rPr>
          <w:rFonts w:hint="eastAsia"/>
        </w:rPr>
        <w:t>年</w:t>
      </w:r>
      <w:r>
        <w:rPr>
          <w:rFonts w:hint="eastAsia"/>
        </w:rPr>
        <w:t>2</w:t>
      </w:r>
      <w:r>
        <w:rPr>
          <w:rFonts w:hint="eastAsia"/>
        </w:rPr>
        <w:t>月</w:t>
      </w:r>
      <w:r>
        <w:rPr>
          <w:rFonts w:hint="eastAsia"/>
        </w:rPr>
        <w:t>4</w:t>
      </w:r>
      <w:r>
        <w:rPr>
          <w:rFonts w:hint="eastAsia"/>
        </w:rPr>
        <w:t>日起实施。《中国人民银行关于内地银行与香港和澳门银行办理个人人民币业务有关问题的通知》（银发〔</w:t>
      </w:r>
      <w:r>
        <w:rPr>
          <w:rFonts w:hint="eastAsia"/>
        </w:rPr>
        <w:t>2004</w:t>
      </w:r>
      <w:r>
        <w:rPr>
          <w:rFonts w:hint="eastAsia"/>
        </w:rPr>
        <w:t>〕</w:t>
      </w:r>
      <w:r>
        <w:rPr>
          <w:rFonts w:hint="eastAsia"/>
        </w:rPr>
        <w:t>254</w:t>
      </w:r>
      <w:r>
        <w:rPr>
          <w:rFonts w:hint="eastAsia"/>
        </w:rPr>
        <w:t>号）第九条，《跨境贸易人民币结算试点管理办法实施细则》（银发〔</w:t>
      </w:r>
      <w:r>
        <w:rPr>
          <w:rFonts w:hint="eastAsia"/>
        </w:rPr>
        <w:t>2009</w:t>
      </w:r>
      <w:r>
        <w:rPr>
          <w:rFonts w:hint="eastAsia"/>
        </w:rPr>
        <w:t>〕</w:t>
      </w:r>
      <w:r>
        <w:rPr>
          <w:rFonts w:hint="eastAsia"/>
        </w:rPr>
        <w:t>212</w:t>
      </w:r>
      <w:r>
        <w:rPr>
          <w:rFonts w:hint="eastAsia"/>
        </w:rPr>
        <w:t>号文印发）第十六条，《外商直接投资人民币结算业务管理办</w:t>
      </w:r>
      <w:r>
        <w:rPr>
          <w:rFonts w:hint="eastAsia"/>
        </w:rPr>
        <w:lastRenderedPageBreak/>
        <w:t>法》（中国人民银行公告〔</w:t>
      </w:r>
      <w:r>
        <w:rPr>
          <w:rFonts w:hint="eastAsia"/>
        </w:rPr>
        <w:t>2011</w:t>
      </w:r>
      <w:r>
        <w:rPr>
          <w:rFonts w:hint="eastAsia"/>
        </w:rPr>
        <w:t>〕第</w:t>
      </w:r>
      <w:r>
        <w:rPr>
          <w:rFonts w:hint="eastAsia"/>
        </w:rPr>
        <w:t>23</w:t>
      </w:r>
      <w:r>
        <w:rPr>
          <w:rFonts w:hint="eastAsia"/>
        </w:rPr>
        <w:t>号公布）第五条、第七条、第八条、第九条、第十五条、第二十一条，《中国人民银行关于明确外商直接投资人民币结算业务操作细则的通知》（银发〔</w:t>
      </w:r>
      <w:r>
        <w:rPr>
          <w:rFonts w:hint="eastAsia"/>
        </w:rPr>
        <w:t>2012</w:t>
      </w:r>
      <w:r>
        <w:rPr>
          <w:rFonts w:hint="eastAsia"/>
        </w:rPr>
        <w:t>〕</w:t>
      </w:r>
      <w:r>
        <w:rPr>
          <w:rFonts w:hint="eastAsia"/>
        </w:rPr>
        <w:t>165</w:t>
      </w:r>
      <w:r>
        <w:rPr>
          <w:rFonts w:hint="eastAsia"/>
        </w:rPr>
        <w:t>号）第五条、第六条、第八条、第九条、第十一条、第十四条、第十六条，《中国人民银行</w:t>
      </w:r>
      <w:r>
        <w:rPr>
          <w:rFonts w:hint="eastAsia"/>
        </w:rPr>
        <w:t xml:space="preserve"> </w:t>
      </w:r>
      <w:r>
        <w:rPr>
          <w:rFonts w:hint="eastAsia"/>
        </w:rPr>
        <w:t>财政部</w:t>
      </w:r>
      <w:r>
        <w:rPr>
          <w:rFonts w:hint="eastAsia"/>
        </w:rPr>
        <w:t xml:space="preserve"> </w:t>
      </w:r>
      <w:r>
        <w:rPr>
          <w:rFonts w:hint="eastAsia"/>
        </w:rPr>
        <w:t>商务部</w:t>
      </w:r>
      <w:r>
        <w:rPr>
          <w:rFonts w:hint="eastAsia"/>
        </w:rPr>
        <w:t xml:space="preserve"> </w:t>
      </w:r>
      <w:r>
        <w:rPr>
          <w:rFonts w:hint="eastAsia"/>
        </w:rPr>
        <w:t>海关总署</w:t>
      </w:r>
      <w:r>
        <w:rPr>
          <w:rFonts w:hint="eastAsia"/>
        </w:rPr>
        <w:t xml:space="preserve"> </w:t>
      </w:r>
      <w:r>
        <w:rPr>
          <w:rFonts w:hint="eastAsia"/>
        </w:rPr>
        <w:t>国家税务总局</w:t>
      </w:r>
      <w:r>
        <w:rPr>
          <w:rFonts w:hint="eastAsia"/>
        </w:rPr>
        <w:t xml:space="preserve"> </w:t>
      </w:r>
      <w:r>
        <w:rPr>
          <w:rFonts w:hint="eastAsia"/>
        </w:rPr>
        <w:t>中国银行业监督管理委员会关于出口货物贸易人民币结算企业管理有关问题的通知》（银发〔</w:t>
      </w:r>
      <w:r>
        <w:rPr>
          <w:rFonts w:hint="eastAsia"/>
        </w:rPr>
        <w:t>2012</w:t>
      </w:r>
      <w:r>
        <w:rPr>
          <w:rFonts w:hint="eastAsia"/>
        </w:rPr>
        <w:t>〕</w:t>
      </w:r>
      <w:r>
        <w:rPr>
          <w:rFonts w:hint="eastAsia"/>
        </w:rPr>
        <w:t>23</w:t>
      </w:r>
      <w:r>
        <w:rPr>
          <w:rFonts w:hint="eastAsia"/>
        </w:rPr>
        <w:t>号），《中国人民银行关于境外机构人民币银行结算账户开立和使用有关问题的通知》（银发〔</w:t>
      </w:r>
      <w:r>
        <w:rPr>
          <w:rFonts w:hint="eastAsia"/>
        </w:rPr>
        <w:t>2012</w:t>
      </w:r>
      <w:r>
        <w:rPr>
          <w:rFonts w:hint="eastAsia"/>
        </w:rPr>
        <w:t>〕</w:t>
      </w:r>
      <w:r>
        <w:rPr>
          <w:rFonts w:hint="eastAsia"/>
        </w:rPr>
        <w:t>183</w:t>
      </w:r>
      <w:r>
        <w:rPr>
          <w:rFonts w:hint="eastAsia"/>
        </w:rPr>
        <w:t>号）第四条，《中国人民银行关于跨国企业集团开展跨境人民币资金集中运营业务有关事宜的通知》（银发〔</w:t>
      </w:r>
      <w:r>
        <w:rPr>
          <w:rFonts w:hint="eastAsia"/>
        </w:rPr>
        <w:t>2014</w:t>
      </w:r>
      <w:r>
        <w:rPr>
          <w:rFonts w:hint="eastAsia"/>
        </w:rPr>
        <w:t>〕</w:t>
      </w:r>
      <w:r>
        <w:rPr>
          <w:rFonts w:hint="eastAsia"/>
        </w:rPr>
        <w:t>324</w:t>
      </w:r>
      <w:r>
        <w:rPr>
          <w:rFonts w:hint="eastAsia"/>
        </w:rPr>
        <w:t>号）第十三条，《中国人民银行关于进一步明确境内企业人民币境外放款业务有关事项的通知》（银发〔</w:t>
      </w:r>
      <w:r>
        <w:rPr>
          <w:rFonts w:hint="eastAsia"/>
        </w:rPr>
        <w:t>2016</w:t>
      </w:r>
      <w:r>
        <w:rPr>
          <w:rFonts w:hint="eastAsia"/>
        </w:rPr>
        <w:t>〕</w:t>
      </w:r>
      <w:r>
        <w:rPr>
          <w:rFonts w:hint="eastAsia"/>
        </w:rPr>
        <w:t>306</w:t>
      </w:r>
      <w:r>
        <w:rPr>
          <w:rFonts w:hint="eastAsia"/>
        </w:rPr>
        <w:t>号）第五条，《中国人民银行关于全口径跨境融资宏观审慎管理有关事宜的通知》（银发〔</w:t>
      </w:r>
      <w:r>
        <w:rPr>
          <w:rFonts w:hint="eastAsia"/>
        </w:rPr>
        <w:t>2017</w:t>
      </w:r>
      <w:r>
        <w:rPr>
          <w:rFonts w:hint="eastAsia"/>
        </w:rPr>
        <w:t>〕</w:t>
      </w:r>
      <w:r>
        <w:rPr>
          <w:rFonts w:hint="eastAsia"/>
        </w:rPr>
        <w:t>9</w:t>
      </w:r>
      <w:r>
        <w:rPr>
          <w:rFonts w:hint="eastAsia"/>
        </w:rPr>
        <w:t>号）第七条等相关规定与本通知不一致的，以本通知为准。</w:t>
      </w:r>
    </w:p>
    <w:p w14:paraId="632A7F17" w14:textId="77777777" w:rsidR="00200B0A" w:rsidRDefault="00200B0A" w:rsidP="00882A7B">
      <w:pPr>
        <w:pStyle w:val="AD"/>
        <w:spacing w:line="276" w:lineRule="auto"/>
      </w:pPr>
    </w:p>
    <w:p w14:paraId="705A915C" w14:textId="729653D3" w:rsidR="00200B0A" w:rsidRDefault="00200B0A" w:rsidP="0041782A">
      <w:pPr>
        <w:pStyle w:val="AD"/>
        <w:spacing w:line="276" w:lineRule="auto"/>
        <w:jc w:val="right"/>
      </w:pPr>
      <w:r>
        <w:rPr>
          <w:rFonts w:hint="eastAsia"/>
        </w:rPr>
        <w:t>中国人民银行</w:t>
      </w:r>
      <w:r>
        <w:rPr>
          <w:rFonts w:hint="eastAsia"/>
        </w:rPr>
        <w:t xml:space="preserve"> </w:t>
      </w:r>
      <w:r>
        <w:rPr>
          <w:rFonts w:hint="eastAsia"/>
        </w:rPr>
        <w:t>发展改革委</w:t>
      </w:r>
      <w:r>
        <w:rPr>
          <w:rFonts w:hint="eastAsia"/>
        </w:rPr>
        <w:t xml:space="preserve"> </w:t>
      </w:r>
      <w:r>
        <w:rPr>
          <w:rFonts w:hint="eastAsia"/>
        </w:rPr>
        <w:t>商务部</w:t>
      </w:r>
    </w:p>
    <w:p w14:paraId="2EA8636D" w14:textId="0CF59031" w:rsidR="00200B0A" w:rsidRDefault="00200B0A" w:rsidP="0041782A">
      <w:pPr>
        <w:pStyle w:val="AD"/>
        <w:spacing w:line="276" w:lineRule="auto"/>
        <w:jc w:val="right"/>
      </w:pPr>
      <w:r>
        <w:rPr>
          <w:rFonts w:hint="eastAsia"/>
        </w:rPr>
        <w:t>国资委</w:t>
      </w:r>
      <w:r>
        <w:rPr>
          <w:rFonts w:hint="eastAsia"/>
        </w:rPr>
        <w:t xml:space="preserve"> </w:t>
      </w:r>
      <w:r>
        <w:rPr>
          <w:rFonts w:hint="eastAsia"/>
        </w:rPr>
        <w:t>银保监会</w:t>
      </w:r>
      <w:r>
        <w:rPr>
          <w:rFonts w:hint="eastAsia"/>
        </w:rPr>
        <w:t xml:space="preserve"> </w:t>
      </w:r>
      <w:r>
        <w:rPr>
          <w:rFonts w:hint="eastAsia"/>
        </w:rPr>
        <w:t>外汇局</w:t>
      </w:r>
    </w:p>
    <w:p w14:paraId="62C72D43" w14:textId="0632794D" w:rsidR="00B15193" w:rsidRDefault="00200B0A" w:rsidP="0041782A">
      <w:pPr>
        <w:pStyle w:val="AD"/>
        <w:spacing w:line="276" w:lineRule="auto"/>
        <w:jc w:val="right"/>
      </w:pPr>
      <w:r>
        <w:rPr>
          <w:rFonts w:hint="eastAsia"/>
        </w:rPr>
        <w:t>2020</w:t>
      </w:r>
      <w:r>
        <w:rPr>
          <w:rFonts w:hint="eastAsia"/>
        </w:rPr>
        <w:t>年</w:t>
      </w:r>
      <w:r>
        <w:rPr>
          <w:rFonts w:hint="eastAsia"/>
        </w:rPr>
        <w:t>12</w:t>
      </w:r>
      <w:r>
        <w:rPr>
          <w:rFonts w:hint="eastAsia"/>
        </w:rPr>
        <w:t>月</w:t>
      </w:r>
      <w:r>
        <w:rPr>
          <w:rFonts w:hint="eastAsia"/>
        </w:rPr>
        <w:t>31</w:t>
      </w:r>
      <w:r>
        <w:rPr>
          <w:rFonts w:hint="eastAsia"/>
        </w:rPr>
        <w:t>日</w:t>
      </w:r>
    </w:p>
    <w:p w14:paraId="59644541" w14:textId="76C1B6FC" w:rsidR="00200B0A" w:rsidRDefault="00200B0A" w:rsidP="00882A7B">
      <w:pPr>
        <w:pStyle w:val="AD"/>
        <w:spacing w:line="276" w:lineRule="auto"/>
      </w:pPr>
    </w:p>
    <w:p w14:paraId="0095E2BA" w14:textId="1127B2BE" w:rsidR="00200B0A" w:rsidRDefault="00200B0A" w:rsidP="00882A7B">
      <w:pPr>
        <w:pStyle w:val="AD"/>
        <w:spacing w:line="276" w:lineRule="auto"/>
      </w:pPr>
    </w:p>
    <w:p w14:paraId="3B00ED34" w14:textId="69330AC1" w:rsidR="00200B0A" w:rsidRDefault="00200B0A" w:rsidP="00882A7B">
      <w:pPr>
        <w:pStyle w:val="AD"/>
        <w:spacing w:line="276" w:lineRule="auto"/>
      </w:pPr>
      <w:r>
        <w:rPr>
          <w:rFonts w:hint="eastAsia"/>
        </w:rPr>
        <w:t>信息来源：</w:t>
      </w:r>
      <w:hyperlink r:id="rId6" w:history="1">
        <w:r w:rsidRPr="0072071D">
          <w:rPr>
            <w:rStyle w:val="a9"/>
          </w:rPr>
          <w:t>http://www.pbc.gov.cn/tiaofasi/144941/3581332/4158143/index.html</w:t>
        </w:r>
      </w:hyperlink>
    </w:p>
    <w:p w14:paraId="43D5E307" w14:textId="77777777" w:rsidR="00200B0A" w:rsidRPr="00200B0A" w:rsidRDefault="00200B0A" w:rsidP="00882A7B">
      <w:pPr>
        <w:pStyle w:val="AD"/>
        <w:spacing w:line="276" w:lineRule="auto"/>
      </w:pPr>
    </w:p>
    <w:sectPr w:rsidR="00200B0A" w:rsidRPr="00200B0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49DDDA" w14:textId="77777777" w:rsidR="00615A3E" w:rsidRDefault="00615A3E" w:rsidP="00C20A6A">
      <w:pPr>
        <w:spacing w:line="240" w:lineRule="auto"/>
      </w:pPr>
      <w:r>
        <w:separator/>
      </w:r>
    </w:p>
  </w:endnote>
  <w:endnote w:type="continuationSeparator" w:id="0">
    <w:p w14:paraId="6AE2CCFC" w14:textId="77777777" w:rsidR="00615A3E" w:rsidRDefault="00615A3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F41F66" w14:textId="77777777" w:rsidR="00615A3E" w:rsidRDefault="00615A3E" w:rsidP="00C20A6A">
      <w:pPr>
        <w:spacing w:line="240" w:lineRule="auto"/>
      </w:pPr>
      <w:r>
        <w:separator/>
      </w:r>
    </w:p>
  </w:footnote>
  <w:footnote w:type="continuationSeparator" w:id="0">
    <w:p w14:paraId="7EB7EBB6" w14:textId="77777777" w:rsidR="00615A3E" w:rsidRDefault="00615A3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625A5"/>
    <w:rsid w:val="000A7FF7"/>
    <w:rsid w:val="000F4C6A"/>
    <w:rsid w:val="00176A25"/>
    <w:rsid w:val="001C4C6F"/>
    <w:rsid w:val="00200B0A"/>
    <w:rsid w:val="00397A88"/>
    <w:rsid w:val="003D27E2"/>
    <w:rsid w:val="0041782A"/>
    <w:rsid w:val="005F7C76"/>
    <w:rsid w:val="00615A3E"/>
    <w:rsid w:val="007D7BDB"/>
    <w:rsid w:val="00882A7B"/>
    <w:rsid w:val="009625A5"/>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96C0A"/>
  <w15:chartTrackingRefBased/>
  <w15:docId w15:val="{2804A1D1-FF70-4F8A-B534-B6F0E4743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00B0A"/>
    <w:pPr>
      <w:ind w:leftChars="2500" w:left="100"/>
    </w:pPr>
  </w:style>
  <w:style w:type="character" w:customStyle="1" w:styleId="a8">
    <w:name w:val="日期 字符"/>
    <w:basedOn w:val="a0"/>
    <w:link w:val="a7"/>
    <w:uiPriority w:val="99"/>
    <w:semiHidden/>
    <w:rsid w:val="00200B0A"/>
    <w:rPr>
      <w:rFonts w:ascii="Arial" w:eastAsia="宋体" w:hAnsi="Arial"/>
      <w:sz w:val="22"/>
    </w:rPr>
  </w:style>
  <w:style w:type="character" w:styleId="a9">
    <w:name w:val="Hyperlink"/>
    <w:basedOn w:val="a0"/>
    <w:uiPriority w:val="99"/>
    <w:unhideWhenUsed/>
    <w:rsid w:val="00200B0A"/>
    <w:rPr>
      <w:color w:val="0000FF" w:themeColor="hyperlink"/>
      <w:u w:val="single"/>
    </w:rPr>
  </w:style>
  <w:style w:type="character" w:styleId="aa">
    <w:name w:val="Unresolved Mention"/>
    <w:basedOn w:val="a0"/>
    <w:uiPriority w:val="99"/>
    <w:semiHidden/>
    <w:unhideWhenUsed/>
    <w:rsid w:val="00200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3581332/4158143/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576</Words>
  <Characters>3286</Characters>
  <Application>Microsoft Office Word</Application>
  <DocSecurity>0</DocSecurity>
  <Lines>27</Lines>
  <Paragraphs>7</Paragraphs>
  <ScaleCrop>false</ScaleCrop>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2021-01-05T10:11:00Z</dcterms:created>
  <dcterms:modified xsi:type="dcterms:W3CDTF">2021-01-07T13:40:00Z</dcterms:modified>
</cp:coreProperties>
</file>