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0A5B5D" w14:textId="1B508585" w:rsidR="00D07670" w:rsidRPr="00880F03" w:rsidRDefault="00D07670" w:rsidP="00880F03">
      <w:pPr>
        <w:pStyle w:val="AD"/>
        <w:spacing w:line="276" w:lineRule="auto"/>
        <w:jc w:val="center"/>
        <w:rPr>
          <w:rFonts w:hint="eastAsia"/>
          <w:b/>
          <w:bCs/>
          <w:color w:val="E36C0A" w:themeColor="accent6" w:themeShade="BF"/>
          <w:sz w:val="32"/>
          <w:szCs w:val="32"/>
        </w:rPr>
      </w:pPr>
      <w:r w:rsidRPr="00880F03">
        <w:rPr>
          <w:rFonts w:hint="eastAsia"/>
          <w:b/>
          <w:bCs/>
          <w:color w:val="E36C0A" w:themeColor="accent6" w:themeShade="BF"/>
          <w:sz w:val="32"/>
          <w:szCs w:val="32"/>
        </w:rPr>
        <w:t>规范产权交易机构开展金融企业国有产权交易管理暂行规定</w:t>
      </w:r>
    </w:p>
    <w:p w14:paraId="315FB436" w14:textId="77777777" w:rsidR="00D07670" w:rsidRDefault="00D07670" w:rsidP="00880F03">
      <w:pPr>
        <w:pStyle w:val="AD"/>
        <w:spacing w:line="276" w:lineRule="auto"/>
      </w:pPr>
    </w:p>
    <w:p w14:paraId="3F9142A6" w14:textId="77777777" w:rsidR="00D07670" w:rsidRDefault="00D07670" w:rsidP="00880F03">
      <w:pPr>
        <w:pStyle w:val="AD"/>
        <w:spacing w:line="276" w:lineRule="auto"/>
        <w:rPr>
          <w:rFonts w:hint="eastAsia"/>
        </w:rPr>
      </w:pPr>
      <w:r>
        <w:rPr>
          <w:rFonts w:hint="eastAsia"/>
        </w:rPr>
        <w:t>第一条</w:t>
      </w:r>
      <w:r>
        <w:rPr>
          <w:rFonts w:hint="eastAsia"/>
        </w:rPr>
        <w:t xml:space="preserve">  </w:t>
      </w:r>
      <w:r>
        <w:rPr>
          <w:rFonts w:hint="eastAsia"/>
        </w:rPr>
        <w:t>为进一步规范金融企业国有产权进场交易行为，促进国有金融资产有序流转，根据《中共中央</w:t>
      </w:r>
      <w:r>
        <w:rPr>
          <w:rFonts w:hint="eastAsia"/>
        </w:rPr>
        <w:t xml:space="preserve"> </w:t>
      </w:r>
      <w:r>
        <w:rPr>
          <w:rFonts w:hint="eastAsia"/>
        </w:rPr>
        <w:t>国务院关于完善国有金融资本管理的指导意见》、国务院清理整顿各类交易场所有关文件，以及《金融企业国有资产转让管理办法》（财政部令第</w:t>
      </w:r>
      <w:r>
        <w:rPr>
          <w:rFonts w:hint="eastAsia"/>
        </w:rPr>
        <w:t>54</w:t>
      </w:r>
      <w:r>
        <w:rPr>
          <w:rFonts w:hint="eastAsia"/>
        </w:rPr>
        <w:t>号）等要求，制定本规定。</w:t>
      </w:r>
    </w:p>
    <w:p w14:paraId="42B6BBA3" w14:textId="77777777" w:rsidR="00D07670" w:rsidRDefault="00D07670" w:rsidP="00880F03">
      <w:pPr>
        <w:pStyle w:val="AD"/>
        <w:spacing w:line="276" w:lineRule="auto"/>
        <w:rPr>
          <w:rFonts w:hint="eastAsia"/>
        </w:rPr>
      </w:pPr>
      <w:r>
        <w:rPr>
          <w:rFonts w:hint="eastAsia"/>
        </w:rPr>
        <w:t>第二条</w:t>
      </w:r>
      <w:r>
        <w:rPr>
          <w:rFonts w:hint="eastAsia"/>
        </w:rPr>
        <w:t xml:space="preserve">  </w:t>
      </w:r>
      <w:r>
        <w:rPr>
          <w:rFonts w:hint="eastAsia"/>
        </w:rPr>
        <w:t>本规定所述产权交易机构，是指经省级人民政府批准设立或确认的产权交易场所，在经批准的经营范围内开展金融企业国有产权交易。</w:t>
      </w:r>
    </w:p>
    <w:p w14:paraId="7749342D" w14:textId="77777777" w:rsidR="00D07670" w:rsidRDefault="00D07670" w:rsidP="00880F03">
      <w:pPr>
        <w:pStyle w:val="AD"/>
        <w:spacing w:line="276" w:lineRule="auto"/>
        <w:rPr>
          <w:rFonts w:hint="eastAsia"/>
        </w:rPr>
      </w:pPr>
      <w:r>
        <w:rPr>
          <w:rFonts w:hint="eastAsia"/>
        </w:rPr>
        <w:t>本规定所述金融企业，包括依法设立的获得金融业务许可证的各类金融企业，主权财富基金、金融控股公司、金融投资运营公司以及金融基础设施等实质性开展金融业务的其他企业或机构。</w:t>
      </w:r>
    </w:p>
    <w:p w14:paraId="4E63ABFE" w14:textId="77777777" w:rsidR="00D07670" w:rsidRDefault="00D07670" w:rsidP="00880F03">
      <w:pPr>
        <w:pStyle w:val="AD"/>
        <w:spacing w:line="276" w:lineRule="auto"/>
        <w:rPr>
          <w:rFonts w:hint="eastAsia"/>
        </w:rPr>
      </w:pPr>
      <w:r>
        <w:rPr>
          <w:rFonts w:hint="eastAsia"/>
        </w:rPr>
        <w:t>本规定所述国有产权交易包括国有金融企业转让其各种形式出资所形成权益的行为，以及增加资本金的行为。</w:t>
      </w:r>
    </w:p>
    <w:p w14:paraId="60C9FCAC" w14:textId="77777777" w:rsidR="00D07670" w:rsidRDefault="00D07670" w:rsidP="00880F03">
      <w:pPr>
        <w:pStyle w:val="AD"/>
        <w:spacing w:line="276" w:lineRule="auto"/>
        <w:rPr>
          <w:rFonts w:hint="eastAsia"/>
        </w:rPr>
      </w:pPr>
      <w:r>
        <w:rPr>
          <w:rFonts w:hint="eastAsia"/>
        </w:rPr>
        <w:t>第三条</w:t>
      </w:r>
      <w:r>
        <w:rPr>
          <w:rFonts w:hint="eastAsia"/>
        </w:rPr>
        <w:t xml:space="preserve">  </w:t>
      </w:r>
      <w:r>
        <w:rPr>
          <w:rFonts w:hint="eastAsia"/>
        </w:rPr>
        <w:t>产权交易机构开展金融企业国有产权交易应当具备以下基本条件：</w:t>
      </w:r>
    </w:p>
    <w:p w14:paraId="3FEF44AD" w14:textId="77777777" w:rsidR="00D07670" w:rsidRDefault="00D07670" w:rsidP="00880F03">
      <w:pPr>
        <w:pStyle w:val="AD"/>
        <w:spacing w:line="276" w:lineRule="auto"/>
        <w:rPr>
          <w:rFonts w:hint="eastAsia"/>
        </w:rPr>
      </w:pPr>
      <w:r>
        <w:rPr>
          <w:rFonts w:hint="eastAsia"/>
        </w:rPr>
        <w:t>（一）省级人民政府批准设立或确认的产权交易机构，具备开展业务活动必需的营业场所、业务设施、专业人员，能够满足金融企业国有产权交易活动的需要，并</w:t>
      </w:r>
      <w:proofErr w:type="gramStart"/>
      <w:r>
        <w:rPr>
          <w:rFonts w:hint="eastAsia"/>
        </w:rPr>
        <w:t>经负责</w:t>
      </w:r>
      <w:proofErr w:type="gramEnd"/>
      <w:r>
        <w:rPr>
          <w:rFonts w:hint="eastAsia"/>
        </w:rPr>
        <w:t>清理整顿各类交易场所的部门备案；</w:t>
      </w:r>
    </w:p>
    <w:p w14:paraId="592A73CB" w14:textId="77777777" w:rsidR="00D07670" w:rsidRDefault="00D07670" w:rsidP="00880F03">
      <w:pPr>
        <w:pStyle w:val="AD"/>
        <w:spacing w:line="276" w:lineRule="auto"/>
        <w:rPr>
          <w:rFonts w:hint="eastAsia"/>
        </w:rPr>
      </w:pPr>
      <w:r>
        <w:rPr>
          <w:rFonts w:hint="eastAsia"/>
        </w:rPr>
        <w:t>（二）严格遵守国家法律法规以及国有金融资本管理的相关制度规定，近</w:t>
      </w:r>
      <w:r>
        <w:rPr>
          <w:rFonts w:hint="eastAsia"/>
        </w:rPr>
        <w:t>3</w:t>
      </w:r>
      <w:r>
        <w:rPr>
          <w:rFonts w:hint="eastAsia"/>
        </w:rPr>
        <w:t>年没有违法违规记录；</w:t>
      </w:r>
    </w:p>
    <w:p w14:paraId="4CA90F82" w14:textId="77777777" w:rsidR="00D07670" w:rsidRDefault="00D07670" w:rsidP="00880F03">
      <w:pPr>
        <w:pStyle w:val="AD"/>
        <w:spacing w:line="276" w:lineRule="auto"/>
        <w:rPr>
          <w:rFonts w:hint="eastAsia"/>
        </w:rPr>
      </w:pPr>
      <w:r>
        <w:rPr>
          <w:rFonts w:hint="eastAsia"/>
        </w:rPr>
        <w:t>（三）能够履行产权交易机构职责，严格审查产权交易主体的资格和条件，自觉接受金融企业国有资产交易行为监督检查，信息化建设和管理水平能够满足财政部门业务动态监测需要；</w:t>
      </w:r>
    </w:p>
    <w:p w14:paraId="0CC4C320" w14:textId="77777777" w:rsidR="00D07670" w:rsidRDefault="00D07670" w:rsidP="00880F03">
      <w:pPr>
        <w:pStyle w:val="AD"/>
        <w:spacing w:line="276" w:lineRule="auto"/>
        <w:rPr>
          <w:rFonts w:hint="eastAsia"/>
        </w:rPr>
      </w:pPr>
      <w:r>
        <w:rPr>
          <w:rFonts w:hint="eastAsia"/>
        </w:rPr>
        <w:t>（四）具有健全的内部管理制度，产权交易规则透明、操作规范，竞价机制完善，按照国家有关规定公开披露产权交易信息，能够按要求及时向省级以上财政部门报告场内金融企业国有产权交易情况；</w:t>
      </w:r>
    </w:p>
    <w:p w14:paraId="737E4E61" w14:textId="77777777" w:rsidR="00D07670" w:rsidRDefault="00D07670" w:rsidP="00880F03">
      <w:pPr>
        <w:pStyle w:val="AD"/>
        <w:spacing w:line="276" w:lineRule="auto"/>
        <w:rPr>
          <w:rFonts w:hint="eastAsia"/>
        </w:rPr>
      </w:pPr>
      <w:r>
        <w:rPr>
          <w:rFonts w:hint="eastAsia"/>
        </w:rPr>
        <w:t>（五）权属清晰，能够按要求办理国有金融资本产权登记。</w:t>
      </w:r>
    </w:p>
    <w:p w14:paraId="4F91E270" w14:textId="77777777" w:rsidR="00D07670" w:rsidRDefault="00D07670" w:rsidP="00880F03">
      <w:pPr>
        <w:pStyle w:val="AD"/>
        <w:spacing w:line="276" w:lineRule="auto"/>
        <w:rPr>
          <w:rFonts w:hint="eastAsia"/>
        </w:rPr>
      </w:pPr>
      <w:r>
        <w:rPr>
          <w:rFonts w:hint="eastAsia"/>
        </w:rPr>
        <w:t>第四条</w:t>
      </w:r>
      <w:r>
        <w:rPr>
          <w:rFonts w:hint="eastAsia"/>
        </w:rPr>
        <w:t xml:space="preserve">  </w:t>
      </w:r>
      <w:r>
        <w:rPr>
          <w:rFonts w:hint="eastAsia"/>
        </w:rPr>
        <w:t>产权交易机构作为地方金融基础设施纳入国有金融资本管理范畴的，按要求执行国有金融资本管理统一规制，由地方财政部门履行出资人职责，或由地方财政部门根据需要委托国资部门管理。</w:t>
      </w:r>
    </w:p>
    <w:p w14:paraId="2AA8BEA0" w14:textId="77777777" w:rsidR="00D07670" w:rsidRDefault="00D07670" w:rsidP="00880F03">
      <w:pPr>
        <w:pStyle w:val="AD"/>
        <w:spacing w:line="276" w:lineRule="auto"/>
        <w:rPr>
          <w:rFonts w:hint="eastAsia"/>
        </w:rPr>
      </w:pPr>
      <w:r>
        <w:rPr>
          <w:rFonts w:hint="eastAsia"/>
        </w:rPr>
        <w:t>国有实体企业投资入股产权交易机构的，依法行使具体股东职责，应执行统一的国有金融资本管理制度，由财政部门会同国有资产监督管理机构组织做好落实。</w:t>
      </w:r>
    </w:p>
    <w:p w14:paraId="26A5D518" w14:textId="77777777" w:rsidR="00D07670" w:rsidRDefault="00D07670" w:rsidP="00880F03">
      <w:pPr>
        <w:pStyle w:val="AD"/>
        <w:spacing w:line="276" w:lineRule="auto"/>
        <w:rPr>
          <w:rFonts w:hint="eastAsia"/>
        </w:rPr>
      </w:pPr>
      <w:r>
        <w:rPr>
          <w:rFonts w:hint="eastAsia"/>
        </w:rPr>
        <w:t>第五条</w:t>
      </w:r>
      <w:r>
        <w:rPr>
          <w:rFonts w:hint="eastAsia"/>
        </w:rPr>
        <w:t xml:space="preserve">  </w:t>
      </w:r>
      <w:r>
        <w:rPr>
          <w:rFonts w:hint="eastAsia"/>
        </w:rPr>
        <w:t>按照清理整顿各类交易所部际联席会议“同一类别交易所原则上保留一家”的要求，各省级财政部门根据第三条所列条件，确认本地区承办地方金融企业国有产权交易业务的机构，经本级政府认可后，以适当方式向社会公开。</w:t>
      </w:r>
    </w:p>
    <w:p w14:paraId="42ECD2CF" w14:textId="77777777" w:rsidR="00D07670" w:rsidRDefault="00D07670" w:rsidP="00880F03">
      <w:pPr>
        <w:pStyle w:val="AD"/>
        <w:spacing w:line="276" w:lineRule="auto"/>
        <w:rPr>
          <w:rFonts w:hint="eastAsia"/>
        </w:rPr>
      </w:pPr>
      <w:r>
        <w:rPr>
          <w:rFonts w:hint="eastAsia"/>
        </w:rPr>
        <w:t>第六条</w:t>
      </w:r>
      <w:r>
        <w:rPr>
          <w:rFonts w:hint="eastAsia"/>
        </w:rPr>
        <w:t xml:space="preserve">  </w:t>
      </w:r>
      <w:r>
        <w:rPr>
          <w:rFonts w:hint="eastAsia"/>
        </w:rPr>
        <w:t>中央金融企业（含其所属企业，下同）需要进行国有产权交易的，选择的产权交易机构在符合第三条所列各项条件的基础上，须同时具备以下条件：</w:t>
      </w:r>
    </w:p>
    <w:p w14:paraId="126027EB" w14:textId="77777777" w:rsidR="00D07670" w:rsidRDefault="00D07670" w:rsidP="00880F03">
      <w:pPr>
        <w:pStyle w:val="AD"/>
        <w:spacing w:line="276" w:lineRule="auto"/>
        <w:rPr>
          <w:rFonts w:hint="eastAsia"/>
        </w:rPr>
      </w:pPr>
      <w:r>
        <w:rPr>
          <w:rFonts w:hint="eastAsia"/>
        </w:rPr>
        <w:t>（一）经本级政府确认，可以承办地方金融企业国有产权交易业务；</w:t>
      </w:r>
    </w:p>
    <w:p w14:paraId="0DE8183F" w14:textId="77777777" w:rsidR="00D07670" w:rsidRDefault="00D07670" w:rsidP="00880F03">
      <w:pPr>
        <w:pStyle w:val="AD"/>
        <w:spacing w:line="276" w:lineRule="auto"/>
        <w:rPr>
          <w:rFonts w:hint="eastAsia"/>
        </w:rPr>
      </w:pPr>
      <w:r>
        <w:rPr>
          <w:rFonts w:hint="eastAsia"/>
        </w:rPr>
        <w:t>（二）客户群体广泛，金融企业国有产权交易活跃，能够有效发挥竞价作用；</w:t>
      </w:r>
    </w:p>
    <w:p w14:paraId="1BF6F35E" w14:textId="77777777" w:rsidR="00D07670" w:rsidRDefault="00D07670" w:rsidP="00880F03">
      <w:pPr>
        <w:pStyle w:val="AD"/>
        <w:spacing w:line="276" w:lineRule="auto"/>
        <w:rPr>
          <w:rFonts w:hint="eastAsia"/>
        </w:rPr>
      </w:pPr>
      <w:r>
        <w:rPr>
          <w:rFonts w:hint="eastAsia"/>
        </w:rPr>
        <w:t>（三）具备开展中央金融企业国有产权交易的经验。</w:t>
      </w:r>
    </w:p>
    <w:p w14:paraId="6BE325C0" w14:textId="77777777" w:rsidR="00D07670" w:rsidRDefault="00D07670" w:rsidP="00880F03">
      <w:pPr>
        <w:pStyle w:val="AD"/>
        <w:spacing w:line="276" w:lineRule="auto"/>
        <w:rPr>
          <w:rFonts w:hint="eastAsia"/>
        </w:rPr>
      </w:pPr>
      <w:r>
        <w:rPr>
          <w:rFonts w:hint="eastAsia"/>
        </w:rPr>
        <w:t>第七条</w:t>
      </w:r>
      <w:r>
        <w:rPr>
          <w:rFonts w:hint="eastAsia"/>
        </w:rPr>
        <w:t xml:space="preserve">  </w:t>
      </w:r>
      <w:r>
        <w:rPr>
          <w:rFonts w:hint="eastAsia"/>
        </w:rPr>
        <w:t>符合第三条、第六条所述条件的产权交易机构，可按程序向同级财政部门提出申请，并提交有关申请文件、交易规则、近三年业务开展情况、承办地方金融企业和中央金融企业国有产权交易业务的具体情况等相关材料。</w:t>
      </w:r>
    </w:p>
    <w:p w14:paraId="042C3755" w14:textId="77777777" w:rsidR="00D07670" w:rsidRDefault="00D07670" w:rsidP="00880F03">
      <w:pPr>
        <w:pStyle w:val="AD"/>
        <w:spacing w:line="276" w:lineRule="auto"/>
        <w:rPr>
          <w:rFonts w:hint="eastAsia"/>
        </w:rPr>
      </w:pPr>
      <w:r>
        <w:rPr>
          <w:rFonts w:hint="eastAsia"/>
        </w:rPr>
        <w:lastRenderedPageBreak/>
        <w:t>同级财政部门审核后认为具有承办中央金融企业国有产权交易能力的产权交易机构，向财政部推荐，并结合产权交易机构业务开展情况，动态调整推荐的产权交易机构。财政部对推荐的产权交易机构予以公示。中央金融企业应在各省级财政部门推荐的名单中择优选择机构，开展国有产权交易业务。</w:t>
      </w:r>
    </w:p>
    <w:p w14:paraId="2F535FAB" w14:textId="77777777" w:rsidR="00D07670" w:rsidRDefault="00D07670" w:rsidP="00880F03">
      <w:pPr>
        <w:pStyle w:val="AD"/>
        <w:spacing w:line="276" w:lineRule="auto"/>
        <w:rPr>
          <w:rFonts w:hint="eastAsia"/>
        </w:rPr>
      </w:pPr>
      <w:r>
        <w:rPr>
          <w:rFonts w:hint="eastAsia"/>
        </w:rPr>
        <w:t>第八条</w:t>
      </w:r>
      <w:r>
        <w:rPr>
          <w:rFonts w:hint="eastAsia"/>
        </w:rPr>
        <w:t xml:space="preserve">  </w:t>
      </w:r>
      <w:r>
        <w:rPr>
          <w:rFonts w:hint="eastAsia"/>
        </w:rPr>
        <w:t>产权交易机构开展金融企业国有产权交易业务，应严格遵守相关法律法规，确保交易行为公开、公平、公正，促进国有金融资本保值增值、防范国有金融资产流失：</w:t>
      </w:r>
    </w:p>
    <w:p w14:paraId="2C89E7E8" w14:textId="77777777" w:rsidR="00D07670" w:rsidRDefault="00D07670" w:rsidP="00880F03">
      <w:pPr>
        <w:pStyle w:val="AD"/>
        <w:spacing w:line="276" w:lineRule="auto"/>
        <w:rPr>
          <w:rFonts w:hint="eastAsia"/>
        </w:rPr>
      </w:pPr>
      <w:r>
        <w:rPr>
          <w:rFonts w:hint="eastAsia"/>
        </w:rPr>
        <w:t>（一）对交易相关各方产权登记证、经济行为文件和披露信息等资料的真实性、完备性进行审查，确保交易标的权属清晰，交易行为依法合</w:t>
      </w:r>
      <w:proofErr w:type="gramStart"/>
      <w:r>
        <w:rPr>
          <w:rFonts w:hint="eastAsia"/>
        </w:rPr>
        <w:t>规</w:t>
      </w:r>
      <w:proofErr w:type="gramEnd"/>
      <w:r>
        <w:rPr>
          <w:rFonts w:hint="eastAsia"/>
        </w:rPr>
        <w:t>；</w:t>
      </w:r>
    </w:p>
    <w:p w14:paraId="41927F61" w14:textId="77777777" w:rsidR="00D07670" w:rsidRDefault="00D07670" w:rsidP="00880F03">
      <w:pPr>
        <w:pStyle w:val="AD"/>
        <w:spacing w:line="276" w:lineRule="auto"/>
        <w:rPr>
          <w:rFonts w:hint="eastAsia"/>
        </w:rPr>
      </w:pPr>
      <w:r>
        <w:rPr>
          <w:rFonts w:hint="eastAsia"/>
        </w:rPr>
        <w:t>（二）对信息披露的规范性负责，确保交易挂牌、摘牌等相关信息真实、可靠，在公开的信息公布平台上永久可查；</w:t>
      </w:r>
    </w:p>
    <w:p w14:paraId="2C2D8CBF" w14:textId="77777777" w:rsidR="00D07670" w:rsidRDefault="00D07670" w:rsidP="00880F03">
      <w:pPr>
        <w:pStyle w:val="AD"/>
        <w:spacing w:line="276" w:lineRule="auto"/>
        <w:rPr>
          <w:rFonts w:hint="eastAsia"/>
        </w:rPr>
      </w:pPr>
      <w:r>
        <w:rPr>
          <w:rFonts w:hint="eastAsia"/>
        </w:rPr>
        <w:t>（三）建立信息共享机制，实现互联互通，实时报送国有产权相关交易信息；</w:t>
      </w:r>
    </w:p>
    <w:p w14:paraId="6A7D536D" w14:textId="77777777" w:rsidR="00D07670" w:rsidRDefault="00D07670" w:rsidP="00880F03">
      <w:pPr>
        <w:pStyle w:val="AD"/>
        <w:spacing w:line="276" w:lineRule="auto"/>
        <w:rPr>
          <w:rFonts w:hint="eastAsia"/>
        </w:rPr>
      </w:pPr>
      <w:r>
        <w:rPr>
          <w:rFonts w:hint="eastAsia"/>
        </w:rPr>
        <w:t>（四）每季度结束后</w:t>
      </w:r>
      <w:r>
        <w:rPr>
          <w:rFonts w:hint="eastAsia"/>
        </w:rPr>
        <w:t>15</w:t>
      </w:r>
      <w:r>
        <w:rPr>
          <w:rFonts w:hint="eastAsia"/>
        </w:rPr>
        <w:t>个工作日内，向财政部门报送上季度金融企业国有产权交易开展情况；</w:t>
      </w:r>
    </w:p>
    <w:p w14:paraId="64F666D8" w14:textId="77777777" w:rsidR="00D07670" w:rsidRDefault="00D07670" w:rsidP="00880F03">
      <w:pPr>
        <w:pStyle w:val="AD"/>
        <w:spacing w:line="276" w:lineRule="auto"/>
        <w:rPr>
          <w:rFonts w:hint="eastAsia"/>
        </w:rPr>
      </w:pPr>
      <w:r>
        <w:rPr>
          <w:rFonts w:hint="eastAsia"/>
        </w:rPr>
        <w:t>（五）健全档案管理机制，对交易行为涉及的全部资料应进行梳理分类、存档备查。</w:t>
      </w:r>
    </w:p>
    <w:p w14:paraId="5BD45C09" w14:textId="77777777" w:rsidR="00D07670" w:rsidRDefault="00D07670" w:rsidP="00880F03">
      <w:pPr>
        <w:pStyle w:val="AD"/>
        <w:spacing w:line="276" w:lineRule="auto"/>
        <w:rPr>
          <w:rFonts w:hint="eastAsia"/>
        </w:rPr>
      </w:pPr>
      <w:r>
        <w:rPr>
          <w:rFonts w:hint="eastAsia"/>
        </w:rPr>
        <w:t>产权交易机构对（一）、（二）项所述信息的真实性审查遵循尽职免责原则，相关资料提供方的责任不因提交产权交易机构审查发生转移。</w:t>
      </w:r>
    </w:p>
    <w:p w14:paraId="7CDBB0DD" w14:textId="77777777" w:rsidR="00D07670" w:rsidRDefault="00D07670" w:rsidP="00880F03">
      <w:pPr>
        <w:pStyle w:val="AD"/>
        <w:spacing w:line="276" w:lineRule="auto"/>
        <w:rPr>
          <w:rFonts w:hint="eastAsia"/>
        </w:rPr>
      </w:pPr>
      <w:r>
        <w:rPr>
          <w:rFonts w:hint="eastAsia"/>
        </w:rPr>
        <w:t>第九条</w:t>
      </w:r>
      <w:r>
        <w:rPr>
          <w:rFonts w:hint="eastAsia"/>
        </w:rPr>
        <w:t xml:space="preserve">  </w:t>
      </w:r>
      <w:r>
        <w:rPr>
          <w:rFonts w:hint="eastAsia"/>
        </w:rPr>
        <w:t>对不符合本规定第三条和第六条所述条件，以及违反本规定第八条所述要求的产权交易机构，属地省级财政部门应及时纠正处理，并通过适当方式向社会公告。</w:t>
      </w:r>
    </w:p>
    <w:p w14:paraId="131D0832" w14:textId="77777777" w:rsidR="00D07670" w:rsidRDefault="00D07670" w:rsidP="00880F03">
      <w:pPr>
        <w:pStyle w:val="AD"/>
        <w:spacing w:line="276" w:lineRule="auto"/>
        <w:rPr>
          <w:rFonts w:hint="eastAsia"/>
        </w:rPr>
      </w:pPr>
      <w:r>
        <w:rPr>
          <w:rFonts w:hint="eastAsia"/>
        </w:rPr>
        <w:t>第十条</w:t>
      </w:r>
      <w:r>
        <w:rPr>
          <w:rFonts w:hint="eastAsia"/>
        </w:rPr>
        <w:t xml:space="preserve">  </w:t>
      </w:r>
      <w:r>
        <w:rPr>
          <w:rFonts w:hint="eastAsia"/>
        </w:rPr>
        <w:t>产权交易机构应严守商业秘密，不得泄露意向受让方竞价等信息，不得参与串通交易。对违法违规、弄虚作假，损害国有金融资本出资人权益的行为，财政部门可按有关规定进行处理。</w:t>
      </w:r>
    </w:p>
    <w:p w14:paraId="5BD02E05" w14:textId="77777777" w:rsidR="00D07670" w:rsidRDefault="00D07670" w:rsidP="00880F03">
      <w:pPr>
        <w:pStyle w:val="AD"/>
        <w:spacing w:line="276" w:lineRule="auto"/>
        <w:rPr>
          <w:rFonts w:hint="eastAsia"/>
        </w:rPr>
      </w:pPr>
      <w:r>
        <w:rPr>
          <w:rFonts w:hint="eastAsia"/>
        </w:rPr>
        <w:t>第十一条</w:t>
      </w:r>
      <w:r>
        <w:rPr>
          <w:rFonts w:hint="eastAsia"/>
        </w:rPr>
        <w:t xml:space="preserve">  </w:t>
      </w:r>
      <w:r>
        <w:rPr>
          <w:rFonts w:hint="eastAsia"/>
        </w:rPr>
        <w:t>本规定由财政部负责解释。</w:t>
      </w:r>
    </w:p>
    <w:p w14:paraId="4BDDB988" w14:textId="088712F6" w:rsidR="00B15193" w:rsidRDefault="00D07670" w:rsidP="00880F03">
      <w:pPr>
        <w:pStyle w:val="AD"/>
        <w:spacing w:line="276" w:lineRule="auto"/>
      </w:pPr>
      <w:r>
        <w:rPr>
          <w:rFonts w:hint="eastAsia"/>
        </w:rPr>
        <w:t>第十二条</w:t>
      </w:r>
      <w:r>
        <w:rPr>
          <w:rFonts w:hint="eastAsia"/>
        </w:rPr>
        <w:t xml:space="preserve">  </w:t>
      </w:r>
      <w:r>
        <w:rPr>
          <w:rFonts w:hint="eastAsia"/>
        </w:rPr>
        <w:t>本规定自发布起施行。</w:t>
      </w:r>
    </w:p>
    <w:p w14:paraId="40EF0DF5" w14:textId="2DF73863" w:rsidR="00D07670" w:rsidRDefault="00D07670" w:rsidP="00880F03">
      <w:pPr>
        <w:pStyle w:val="AD"/>
        <w:spacing w:line="276" w:lineRule="auto"/>
      </w:pPr>
    </w:p>
    <w:p w14:paraId="003AF347" w14:textId="70939EF1" w:rsidR="00D07670" w:rsidRDefault="00D07670" w:rsidP="00880F03">
      <w:pPr>
        <w:pStyle w:val="AD"/>
        <w:spacing w:line="276" w:lineRule="auto"/>
      </w:pPr>
    </w:p>
    <w:p w14:paraId="6A456D93" w14:textId="232EFBBB" w:rsidR="00D07670" w:rsidRDefault="00D07670" w:rsidP="00880F03">
      <w:pPr>
        <w:pStyle w:val="AD"/>
        <w:spacing w:line="276" w:lineRule="auto"/>
      </w:pPr>
      <w:r>
        <w:rPr>
          <w:rFonts w:hint="eastAsia"/>
        </w:rPr>
        <w:t>信息来源：</w:t>
      </w:r>
      <w:hyperlink r:id="rId6" w:history="1">
        <w:r w:rsidRPr="00503BC5">
          <w:rPr>
            <w:rStyle w:val="a7"/>
          </w:rPr>
          <w:t>http://jrs.mof.gov.cn/zhengcefabu/cqgl/202011/t20201118_3625343.htm</w:t>
        </w:r>
      </w:hyperlink>
    </w:p>
    <w:p w14:paraId="548BFC06" w14:textId="77777777" w:rsidR="00D07670" w:rsidRPr="00D07670" w:rsidRDefault="00D07670" w:rsidP="00880F03">
      <w:pPr>
        <w:pStyle w:val="AD"/>
        <w:spacing w:line="276" w:lineRule="auto"/>
        <w:rPr>
          <w:rFonts w:hint="eastAsia"/>
        </w:rPr>
      </w:pPr>
    </w:p>
    <w:sectPr w:rsidR="00D07670" w:rsidRPr="00D07670"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411995" w14:textId="77777777" w:rsidR="006C0914" w:rsidRDefault="006C0914" w:rsidP="00C20A6A">
      <w:pPr>
        <w:spacing w:line="240" w:lineRule="auto"/>
      </w:pPr>
      <w:r>
        <w:separator/>
      </w:r>
    </w:p>
  </w:endnote>
  <w:endnote w:type="continuationSeparator" w:id="0">
    <w:p w14:paraId="66D0CC74" w14:textId="77777777" w:rsidR="006C0914" w:rsidRDefault="006C0914"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458C0E" w14:textId="77777777" w:rsidR="006C0914" w:rsidRDefault="006C0914" w:rsidP="00C20A6A">
      <w:pPr>
        <w:spacing w:line="240" w:lineRule="auto"/>
      </w:pPr>
      <w:r>
        <w:separator/>
      </w:r>
    </w:p>
  </w:footnote>
  <w:footnote w:type="continuationSeparator" w:id="0">
    <w:p w14:paraId="5657BD02" w14:textId="77777777" w:rsidR="006C0914" w:rsidRDefault="006C0914"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B06F6"/>
    <w:rsid w:val="000F4C6A"/>
    <w:rsid w:val="00176A25"/>
    <w:rsid w:val="001C4C6F"/>
    <w:rsid w:val="003D27E2"/>
    <w:rsid w:val="005F7C76"/>
    <w:rsid w:val="006C0914"/>
    <w:rsid w:val="007D7BDB"/>
    <w:rsid w:val="00880F03"/>
    <w:rsid w:val="00A548E7"/>
    <w:rsid w:val="00AB06F6"/>
    <w:rsid w:val="00B15193"/>
    <w:rsid w:val="00B731F1"/>
    <w:rsid w:val="00C20A6A"/>
    <w:rsid w:val="00C22624"/>
    <w:rsid w:val="00D02718"/>
    <w:rsid w:val="00D076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5344E7"/>
  <w15:chartTrackingRefBased/>
  <w15:docId w15:val="{C1760A88-E76C-4B99-A58D-DC1BF885B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D07670"/>
    <w:rPr>
      <w:color w:val="0000FF" w:themeColor="hyperlink"/>
      <w:u w:val="single"/>
    </w:rPr>
  </w:style>
  <w:style w:type="character" w:styleId="a8">
    <w:name w:val="Unresolved Mention"/>
    <w:basedOn w:val="a0"/>
    <w:uiPriority w:val="99"/>
    <w:semiHidden/>
    <w:unhideWhenUsed/>
    <w:rsid w:val="00D076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jrs.mof.gov.cn/zhengcefabu/cqgl/202011/t20201118_3625343.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315</Words>
  <Characters>1797</Characters>
  <Application>Microsoft Office Word</Application>
  <DocSecurity>0</DocSecurity>
  <Lines>14</Lines>
  <Paragraphs>4</Paragraphs>
  <ScaleCrop>false</ScaleCrop>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3</cp:revision>
  <dcterms:created xsi:type="dcterms:W3CDTF">2020-11-19T10:25:00Z</dcterms:created>
  <dcterms:modified xsi:type="dcterms:W3CDTF">2020-11-19T10:26:00Z</dcterms:modified>
</cp:coreProperties>
</file>